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CE8" w:rsidRPr="00B20FD7" w:rsidRDefault="00F232F6" w:rsidP="002F3CE8">
      <w:pPr>
        <w:jc w:val="center"/>
        <w:rPr>
          <w:b/>
          <w:sz w:val="28"/>
          <w:szCs w:val="28"/>
          <w:lang w:val="uk-UA"/>
        </w:rPr>
      </w:pPr>
      <w:r w:rsidRPr="00B20FD7">
        <w:rPr>
          <w:b/>
          <w:sz w:val="28"/>
          <w:szCs w:val="28"/>
          <w:lang w:val="uk-UA"/>
        </w:rPr>
        <w:t>АКАДЕМІЯ АДВОКАТУРИ УКРАЇНИ</w:t>
      </w:r>
    </w:p>
    <w:p w:rsidR="002F3CE8" w:rsidRPr="00B20FD7" w:rsidRDefault="002F3CE8" w:rsidP="002F3CE8">
      <w:pPr>
        <w:jc w:val="center"/>
        <w:rPr>
          <w:sz w:val="28"/>
          <w:szCs w:val="28"/>
          <w:lang w:val="uk-UA"/>
        </w:rPr>
      </w:pPr>
      <w:r w:rsidRPr="00B20FD7">
        <w:rPr>
          <w:sz w:val="28"/>
          <w:szCs w:val="28"/>
          <w:lang w:val="uk-UA"/>
        </w:rPr>
        <w:t>Кафедра цивільного</w:t>
      </w:r>
      <w:r w:rsidR="00F232F6" w:rsidRPr="00B20FD7">
        <w:rPr>
          <w:sz w:val="28"/>
          <w:szCs w:val="28"/>
          <w:lang w:val="uk-UA"/>
        </w:rPr>
        <w:t>, господарського</w:t>
      </w:r>
      <w:r w:rsidRPr="00B20FD7">
        <w:rPr>
          <w:sz w:val="28"/>
          <w:szCs w:val="28"/>
          <w:lang w:val="uk-UA"/>
        </w:rPr>
        <w:t xml:space="preserve"> права</w:t>
      </w:r>
      <w:r w:rsidR="00F232F6" w:rsidRPr="00B20FD7">
        <w:rPr>
          <w:sz w:val="28"/>
          <w:szCs w:val="28"/>
          <w:lang w:val="uk-UA"/>
        </w:rPr>
        <w:t xml:space="preserve"> та процесу</w:t>
      </w:r>
    </w:p>
    <w:p w:rsidR="005550DC" w:rsidRPr="00B20FD7" w:rsidRDefault="005550DC" w:rsidP="002F3CE8">
      <w:pPr>
        <w:jc w:val="center"/>
        <w:rPr>
          <w:b/>
          <w:sz w:val="28"/>
          <w:szCs w:val="28"/>
          <w:lang w:val="uk-UA"/>
        </w:rPr>
      </w:pPr>
    </w:p>
    <w:p w:rsidR="002F3CE8" w:rsidRPr="00B20FD7" w:rsidRDefault="002F3CE8" w:rsidP="002F3CE8">
      <w:pPr>
        <w:jc w:val="center"/>
        <w:rPr>
          <w:b/>
          <w:sz w:val="28"/>
          <w:szCs w:val="28"/>
          <w:lang w:val="uk-UA"/>
        </w:rPr>
      </w:pPr>
      <w:r w:rsidRPr="00B20FD7">
        <w:rPr>
          <w:b/>
          <w:sz w:val="28"/>
          <w:szCs w:val="28"/>
          <w:lang w:val="uk-UA"/>
        </w:rPr>
        <w:t>РИМСЬК</w:t>
      </w:r>
      <w:r w:rsidR="00F232F6" w:rsidRPr="00B20FD7">
        <w:rPr>
          <w:b/>
          <w:sz w:val="28"/>
          <w:szCs w:val="28"/>
          <w:lang w:val="uk-UA"/>
        </w:rPr>
        <w:t>Е</w:t>
      </w:r>
      <w:r w:rsidRPr="00B20FD7">
        <w:rPr>
          <w:b/>
          <w:sz w:val="28"/>
          <w:szCs w:val="28"/>
          <w:lang w:val="uk-UA"/>
        </w:rPr>
        <w:t xml:space="preserve"> ПРИВАТН</w:t>
      </w:r>
      <w:r w:rsidR="00F232F6" w:rsidRPr="00B20FD7">
        <w:rPr>
          <w:b/>
          <w:sz w:val="28"/>
          <w:szCs w:val="28"/>
          <w:lang w:val="uk-UA"/>
        </w:rPr>
        <w:t>Е</w:t>
      </w:r>
      <w:r w:rsidRPr="00B20FD7">
        <w:rPr>
          <w:b/>
          <w:sz w:val="28"/>
          <w:szCs w:val="28"/>
          <w:lang w:val="uk-UA"/>
        </w:rPr>
        <w:t xml:space="preserve"> ПРАВ</w:t>
      </w:r>
      <w:r w:rsidR="00F232F6" w:rsidRPr="00B20FD7">
        <w:rPr>
          <w:b/>
          <w:sz w:val="28"/>
          <w:szCs w:val="28"/>
          <w:lang w:val="uk-UA"/>
        </w:rPr>
        <w:t>О</w:t>
      </w:r>
    </w:p>
    <w:p w:rsidR="005550DC" w:rsidRPr="00B20FD7" w:rsidRDefault="005550DC" w:rsidP="002F3CE8">
      <w:pPr>
        <w:jc w:val="center"/>
        <w:rPr>
          <w:sz w:val="28"/>
          <w:szCs w:val="28"/>
          <w:lang w:val="uk-UA"/>
        </w:rPr>
      </w:pPr>
      <w:r w:rsidRPr="00B20FD7">
        <w:rPr>
          <w:sz w:val="28"/>
          <w:szCs w:val="28"/>
          <w:lang w:val="uk-UA"/>
        </w:rPr>
        <w:t>(</w:t>
      </w:r>
      <w:proofErr w:type="spellStart"/>
      <w:r w:rsidRPr="00B20FD7">
        <w:rPr>
          <w:sz w:val="28"/>
          <w:szCs w:val="28"/>
          <w:lang w:val="uk-UA"/>
        </w:rPr>
        <w:t>силабус</w:t>
      </w:r>
      <w:proofErr w:type="spellEnd"/>
      <w:r w:rsidRPr="00B20FD7">
        <w:rPr>
          <w:sz w:val="28"/>
          <w:szCs w:val="28"/>
          <w:lang w:val="uk-UA"/>
        </w:rPr>
        <w:t xml:space="preserve"> навчальної дисципліни)</w:t>
      </w:r>
    </w:p>
    <w:p w:rsidR="005550DC" w:rsidRPr="00B20FD7" w:rsidRDefault="005550DC" w:rsidP="002F3CE8">
      <w:pPr>
        <w:jc w:val="center"/>
        <w:rPr>
          <w:sz w:val="28"/>
          <w:szCs w:val="28"/>
          <w:u w:val="single"/>
          <w:lang w:val="uk-UA"/>
        </w:rPr>
      </w:pPr>
    </w:p>
    <w:tbl>
      <w:tblPr>
        <w:tblW w:w="9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38"/>
        <w:gridCol w:w="649"/>
        <w:gridCol w:w="2557"/>
        <w:gridCol w:w="992"/>
        <w:gridCol w:w="992"/>
        <w:gridCol w:w="1276"/>
        <w:gridCol w:w="981"/>
        <w:gridCol w:w="11"/>
        <w:gridCol w:w="25"/>
      </w:tblGrid>
      <w:tr w:rsidR="002F3CE8" w:rsidRPr="00B20FD7" w:rsidTr="00B20FD7">
        <w:trPr>
          <w:gridAfter w:val="2"/>
          <w:wAfter w:w="36" w:type="dxa"/>
          <w:trHeight w:val="454"/>
        </w:trPr>
        <w:tc>
          <w:tcPr>
            <w:tcW w:w="9345" w:type="dxa"/>
            <w:gridSpan w:val="8"/>
            <w:shd w:val="clear" w:color="auto" w:fill="auto"/>
            <w:vAlign w:val="center"/>
          </w:tcPr>
          <w:p w:rsidR="002F3CE8" w:rsidRPr="00B20FD7" w:rsidRDefault="002F3CE8" w:rsidP="005550DC">
            <w:pPr>
              <w:jc w:val="center"/>
              <w:rPr>
                <w:sz w:val="28"/>
                <w:szCs w:val="28"/>
                <w:lang w:val="uk-UA"/>
              </w:rPr>
            </w:pPr>
            <w:r w:rsidRPr="00B20FD7">
              <w:rPr>
                <w:b/>
                <w:sz w:val="28"/>
                <w:szCs w:val="28"/>
                <w:lang w:val="uk-UA"/>
              </w:rPr>
              <w:t>1. Загальна інформація</w:t>
            </w:r>
          </w:p>
        </w:tc>
      </w:tr>
      <w:tr w:rsidR="002F3CE8" w:rsidRPr="00B20FD7" w:rsidTr="00B20FD7">
        <w:trPr>
          <w:gridAfter w:val="2"/>
          <w:wAfter w:w="36" w:type="dxa"/>
        </w:trPr>
        <w:tc>
          <w:tcPr>
            <w:tcW w:w="2547" w:type="dxa"/>
            <w:gridSpan w:val="3"/>
            <w:shd w:val="clear" w:color="auto" w:fill="auto"/>
          </w:tcPr>
          <w:p w:rsidR="002F3CE8" w:rsidRPr="00B20FD7" w:rsidRDefault="002F3CE8" w:rsidP="00E756F0">
            <w:pPr>
              <w:rPr>
                <w:b/>
                <w:sz w:val="28"/>
                <w:szCs w:val="28"/>
                <w:lang w:val="uk-UA"/>
              </w:rPr>
            </w:pPr>
            <w:r w:rsidRPr="00B20FD7">
              <w:rPr>
                <w:b/>
                <w:sz w:val="28"/>
                <w:szCs w:val="28"/>
                <w:lang w:val="uk-UA"/>
              </w:rPr>
              <w:t>Назва дисципліни</w:t>
            </w:r>
          </w:p>
        </w:tc>
        <w:tc>
          <w:tcPr>
            <w:tcW w:w="6798" w:type="dxa"/>
            <w:gridSpan w:val="5"/>
            <w:shd w:val="clear" w:color="auto" w:fill="auto"/>
          </w:tcPr>
          <w:p w:rsidR="002F3CE8" w:rsidRPr="00B20FD7" w:rsidRDefault="00F232F6" w:rsidP="00F232F6">
            <w:pPr>
              <w:jc w:val="both"/>
              <w:rPr>
                <w:sz w:val="28"/>
                <w:szCs w:val="28"/>
                <w:lang w:val="uk-UA"/>
              </w:rPr>
            </w:pPr>
            <w:r w:rsidRPr="00B20FD7">
              <w:rPr>
                <w:sz w:val="28"/>
                <w:szCs w:val="28"/>
                <w:lang w:val="uk-UA"/>
              </w:rPr>
              <w:t>Р</w:t>
            </w:r>
            <w:r w:rsidR="002F3CE8" w:rsidRPr="00B20FD7">
              <w:rPr>
                <w:sz w:val="28"/>
                <w:szCs w:val="28"/>
                <w:lang w:val="uk-UA"/>
              </w:rPr>
              <w:t>имськ</w:t>
            </w:r>
            <w:r w:rsidRPr="00B20FD7">
              <w:rPr>
                <w:sz w:val="28"/>
                <w:szCs w:val="28"/>
                <w:lang w:val="uk-UA"/>
              </w:rPr>
              <w:t>е</w:t>
            </w:r>
            <w:r w:rsidR="002F3CE8" w:rsidRPr="00B20FD7">
              <w:rPr>
                <w:sz w:val="28"/>
                <w:szCs w:val="28"/>
                <w:lang w:val="uk-UA"/>
              </w:rPr>
              <w:t xml:space="preserve"> приватн</w:t>
            </w:r>
            <w:r w:rsidRPr="00B20FD7">
              <w:rPr>
                <w:sz w:val="28"/>
                <w:szCs w:val="28"/>
                <w:lang w:val="uk-UA"/>
              </w:rPr>
              <w:t>е</w:t>
            </w:r>
            <w:r w:rsidR="002F3CE8" w:rsidRPr="00B20FD7">
              <w:rPr>
                <w:sz w:val="28"/>
                <w:szCs w:val="28"/>
                <w:lang w:val="uk-UA"/>
              </w:rPr>
              <w:t xml:space="preserve"> прав</w:t>
            </w:r>
            <w:r w:rsidRPr="00B20FD7">
              <w:rPr>
                <w:sz w:val="28"/>
                <w:szCs w:val="28"/>
                <w:lang w:val="uk-UA"/>
              </w:rPr>
              <w:t>о</w:t>
            </w:r>
          </w:p>
        </w:tc>
      </w:tr>
      <w:tr w:rsidR="002F3CE8" w:rsidRPr="00B20FD7" w:rsidTr="00B20FD7">
        <w:trPr>
          <w:gridAfter w:val="2"/>
          <w:wAfter w:w="36" w:type="dxa"/>
        </w:trPr>
        <w:tc>
          <w:tcPr>
            <w:tcW w:w="2547" w:type="dxa"/>
            <w:gridSpan w:val="3"/>
            <w:shd w:val="clear" w:color="auto" w:fill="auto"/>
          </w:tcPr>
          <w:p w:rsidR="002F3CE8" w:rsidRPr="00B20FD7" w:rsidRDefault="002F3CE8" w:rsidP="00E756F0">
            <w:pPr>
              <w:rPr>
                <w:b/>
                <w:sz w:val="28"/>
                <w:szCs w:val="28"/>
                <w:lang w:val="uk-UA"/>
              </w:rPr>
            </w:pPr>
            <w:r w:rsidRPr="00B20FD7">
              <w:rPr>
                <w:b/>
                <w:sz w:val="28"/>
                <w:szCs w:val="28"/>
                <w:lang w:val="uk-UA"/>
              </w:rPr>
              <w:t>Викладач (-і)</w:t>
            </w:r>
          </w:p>
        </w:tc>
        <w:tc>
          <w:tcPr>
            <w:tcW w:w="6798" w:type="dxa"/>
            <w:gridSpan w:val="5"/>
            <w:shd w:val="clear" w:color="auto" w:fill="auto"/>
          </w:tcPr>
          <w:p w:rsidR="002F3CE8" w:rsidRPr="00B20FD7" w:rsidRDefault="00F232F6" w:rsidP="00A0711D">
            <w:pPr>
              <w:jc w:val="both"/>
              <w:rPr>
                <w:sz w:val="28"/>
                <w:szCs w:val="28"/>
                <w:lang w:val="uk-UA"/>
              </w:rPr>
            </w:pPr>
            <w:r w:rsidRPr="00B20FD7">
              <w:rPr>
                <w:sz w:val="28"/>
                <w:szCs w:val="28"/>
                <w:lang w:val="uk-UA"/>
              </w:rPr>
              <w:t>Мількова Катерина Віталіївн</w:t>
            </w:r>
            <w:r w:rsidR="00A0711D" w:rsidRPr="00B20FD7">
              <w:rPr>
                <w:sz w:val="28"/>
                <w:szCs w:val="28"/>
                <w:lang w:val="uk-UA"/>
              </w:rPr>
              <w:t>а</w:t>
            </w:r>
            <w:r w:rsidR="002F3CE8" w:rsidRPr="00B20FD7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="00A0711D" w:rsidRPr="00B20FD7">
              <w:rPr>
                <w:sz w:val="28"/>
                <w:szCs w:val="28"/>
                <w:lang w:val="uk-UA"/>
              </w:rPr>
              <w:t>ст.викладач</w:t>
            </w:r>
            <w:proofErr w:type="spellEnd"/>
            <w:r w:rsidR="00A0711D" w:rsidRPr="00B20FD7">
              <w:rPr>
                <w:sz w:val="28"/>
                <w:szCs w:val="28"/>
                <w:lang w:val="uk-UA"/>
              </w:rPr>
              <w:t xml:space="preserve"> </w:t>
            </w:r>
            <w:r w:rsidR="002F3CE8" w:rsidRPr="00B20FD7">
              <w:rPr>
                <w:sz w:val="28"/>
                <w:szCs w:val="28"/>
                <w:lang w:val="uk-UA"/>
              </w:rPr>
              <w:t xml:space="preserve">кафедри </w:t>
            </w:r>
            <w:r w:rsidR="00A0711D" w:rsidRPr="00B20FD7">
              <w:rPr>
                <w:sz w:val="28"/>
                <w:szCs w:val="28"/>
                <w:lang w:val="uk-UA"/>
              </w:rPr>
              <w:t>цивільного, господарського права та процесу</w:t>
            </w:r>
          </w:p>
        </w:tc>
      </w:tr>
      <w:tr w:rsidR="002F3CE8" w:rsidRPr="00B20FD7" w:rsidTr="00B20FD7">
        <w:trPr>
          <w:gridAfter w:val="2"/>
          <w:wAfter w:w="36" w:type="dxa"/>
        </w:trPr>
        <w:tc>
          <w:tcPr>
            <w:tcW w:w="2547" w:type="dxa"/>
            <w:gridSpan w:val="3"/>
            <w:shd w:val="clear" w:color="auto" w:fill="auto"/>
          </w:tcPr>
          <w:p w:rsidR="002F3CE8" w:rsidRPr="00B20FD7" w:rsidRDefault="002F3CE8" w:rsidP="00E756F0">
            <w:pPr>
              <w:rPr>
                <w:b/>
                <w:sz w:val="28"/>
                <w:szCs w:val="28"/>
                <w:lang w:val="uk-UA"/>
              </w:rPr>
            </w:pPr>
            <w:r w:rsidRPr="00B20FD7">
              <w:rPr>
                <w:b/>
                <w:sz w:val="28"/>
                <w:szCs w:val="28"/>
                <w:lang w:val="uk-UA"/>
              </w:rPr>
              <w:t>Контактний телефон викладача</w:t>
            </w:r>
          </w:p>
        </w:tc>
        <w:tc>
          <w:tcPr>
            <w:tcW w:w="6798" w:type="dxa"/>
            <w:gridSpan w:val="5"/>
            <w:shd w:val="clear" w:color="auto" w:fill="auto"/>
          </w:tcPr>
          <w:p w:rsidR="002F3CE8" w:rsidRPr="00B20FD7" w:rsidRDefault="002F3CE8" w:rsidP="00A0711D">
            <w:pPr>
              <w:jc w:val="both"/>
              <w:rPr>
                <w:sz w:val="28"/>
                <w:szCs w:val="28"/>
                <w:lang w:val="uk-UA"/>
              </w:rPr>
            </w:pPr>
            <w:r w:rsidRPr="00B20FD7">
              <w:rPr>
                <w:sz w:val="28"/>
                <w:szCs w:val="28"/>
                <w:lang w:val="uk-UA"/>
              </w:rPr>
              <w:t>(</w:t>
            </w:r>
            <w:r w:rsidR="00A0711D" w:rsidRPr="00B20FD7">
              <w:rPr>
                <w:sz w:val="28"/>
                <w:szCs w:val="28"/>
                <w:lang w:val="uk-UA"/>
              </w:rPr>
              <w:t>044</w:t>
            </w:r>
            <w:r w:rsidRPr="00B20FD7">
              <w:rPr>
                <w:sz w:val="28"/>
                <w:szCs w:val="28"/>
                <w:lang w:val="uk-UA"/>
              </w:rPr>
              <w:t xml:space="preserve">) </w:t>
            </w:r>
            <w:r w:rsidR="00A0711D" w:rsidRPr="00B20FD7">
              <w:rPr>
                <w:sz w:val="28"/>
                <w:szCs w:val="28"/>
                <w:lang w:val="uk-UA"/>
              </w:rPr>
              <w:t>246 59 66</w:t>
            </w:r>
          </w:p>
        </w:tc>
      </w:tr>
      <w:tr w:rsidR="002F3CE8" w:rsidRPr="00B20FD7" w:rsidTr="00B20FD7">
        <w:trPr>
          <w:gridAfter w:val="2"/>
          <w:wAfter w:w="36" w:type="dxa"/>
        </w:trPr>
        <w:tc>
          <w:tcPr>
            <w:tcW w:w="2547" w:type="dxa"/>
            <w:gridSpan w:val="3"/>
            <w:shd w:val="clear" w:color="auto" w:fill="auto"/>
          </w:tcPr>
          <w:p w:rsidR="002F3CE8" w:rsidRPr="00B20FD7" w:rsidRDefault="002F3CE8" w:rsidP="00E756F0">
            <w:pPr>
              <w:rPr>
                <w:b/>
                <w:sz w:val="28"/>
                <w:szCs w:val="28"/>
                <w:lang w:val="uk-UA"/>
              </w:rPr>
            </w:pPr>
            <w:r w:rsidRPr="00B20FD7">
              <w:rPr>
                <w:b/>
                <w:sz w:val="28"/>
                <w:szCs w:val="28"/>
                <w:lang w:val="uk-UA"/>
              </w:rPr>
              <w:t>E-</w:t>
            </w:r>
            <w:proofErr w:type="spellStart"/>
            <w:r w:rsidRPr="00B20FD7">
              <w:rPr>
                <w:b/>
                <w:sz w:val="28"/>
                <w:szCs w:val="28"/>
                <w:lang w:val="uk-UA"/>
              </w:rPr>
              <w:t>mail</w:t>
            </w:r>
            <w:proofErr w:type="spellEnd"/>
            <w:r w:rsidRPr="00B20FD7">
              <w:rPr>
                <w:b/>
                <w:sz w:val="28"/>
                <w:szCs w:val="28"/>
                <w:lang w:val="uk-UA"/>
              </w:rPr>
              <w:t xml:space="preserve"> викладача</w:t>
            </w:r>
          </w:p>
        </w:tc>
        <w:tc>
          <w:tcPr>
            <w:tcW w:w="6798" w:type="dxa"/>
            <w:gridSpan w:val="5"/>
            <w:shd w:val="clear" w:color="auto" w:fill="auto"/>
          </w:tcPr>
          <w:p w:rsidR="002F3CE8" w:rsidRPr="00B20FD7" w:rsidRDefault="00A0711D" w:rsidP="00A0711D">
            <w:pPr>
              <w:jc w:val="both"/>
              <w:rPr>
                <w:color w:val="666666"/>
                <w:sz w:val="28"/>
                <w:szCs w:val="28"/>
                <w:lang w:val="uk-UA"/>
              </w:rPr>
            </w:pPr>
            <w:hyperlink r:id="rId7" w:history="1">
              <w:r w:rsidRPr="00B20FD7">
                <w:rPr>
                  <w:rStyle w:val="a3"/>
                  <w:sz w:val="28"/>
                  <w:szCs w:val="28"/>
                  <w:lang w:val="uk-UA"/>
                </w:rPr>
                <w:t xml:space="preserve">K.Milkova@aau.edu.ua </w:t>
              </w:r>
            </w:hyperlink>
          </w:p>
        </w:tc>
      </w:tr>
      <w:tr w:rsidR="002F3CE8" w:rsidRPr="00B20FD7" w:rsidTr="00B20FD7">
        <w:trPr>
          <w:gridAfter w:val="2"/>
          <w:wAfter w:w="36" w:type="dxa"/>
        </w:trPr>
        <w:tc>
          <w:tcPr>
            <w:tcW w:w="2547" w:type="dxa"/>
            <w:gridSpan w:val="3"/>
            <w:shd w:val="clear" w:color="auto" w:fill="auto"/>
          </w:tcPr>
          <w:p w:rsidR="002F3CE8" w:rsidRPr="00B20FD7" w:rsidRDefault="002F3CE8" w:rsidP="00E756F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20FD7">
              <w:rPr>
                <w:b/>
                <w:sz w:val="28"/>
                <w:szCs w:val="28"/>
                <w:lang w:val="uk-UA"/>
              </w:rPr>
              <w:t>Обсяг дисципліни</w:t>
            </w:r>
          </w:p>
        </w:tc>
        <w:tc>
          <w:tcPr>
            <w:tcW w:w="6798" w:type="dxa"/>
            <w:gridSpan w:val="5"/>
            <w:shd w:val="clear" w:color="auto" w:fill="auto"/>
          </w:tcPr>
          <w:p w:rsidR="002F3CE8" w:rsidRPr="00B20FD7" w:rsidRDefault="002F3CE8" w:rsidP="00E756F0">
            <w:pPr>
              <w:jc w:val="both"/>
              <w:rPr>
                <w:sz w:val="28"/>
                <w:szCs w:val="28"/>
                <w:lang w:val="uk-UA"/>
              </w:rPr>
            </w:pPr>
            <w:r w:rsidRPr="00B20FD7">
              <w:rPr>
                <w:sz w:val="28"/>
                <w:szCs w:val="28"/>
                <w:lang w:val="uk-UA"/>
              </w:rPr>
              <w:t>3 кредити ЄКТС, 90 год.</w:t>
            </w:r>
          </w:p>
        </w:tc>
      </w:tr>
      <w:tr w:rsidR="00AD46F1" w:rsidRPr="00B20FD7" w:rsidTr="00B20FD7">
        <w:trPr>
          <w:gridAfter w:val="2"/>
          <w:wAfter w:w="36" w:type="dxa"/>
        </w:trPr>
        <w:tc>
          <w:tcPr>
            <w:tcW w:w="2547" w:type="dxa"/>
            <w:gridSpan w:val="3"/>
            <w:shd w:val="clear" w:color="auto" w:fill="auto"/>
          </w:tcPr>
          <w:p w:rsidR="00AD46F1" w:rsidRPr="00B20FD7" w:rsidRDefault="00AD46F1" w:rsidP="00AD46F1">
            <w:pPr>
              <w:jc w:val="both"/>
              <w:rPr>
                <w:sz w:val="28"/>
                <w:szCs w:val="28"/>
                <w:lang w:val="uk-UA"/>
              </w:rPr>
            </w:pPr>
            <w:r w:rsidRPr="00B20FD7">
              <w:rPr>
                <w:b/>
                <w:sz w:val="28"/>
                <w:szCs w:val="28"/>
                <w:lang w:val="uk-UA"/>
              </w:rPr>
              <w:t xml:space="preserve">Мова викладання </w:t>
            </w:r>
          </w:p>
        </w:tc>
        <w:tc>
          <w:tcPr>
            <w:tcW w:w="6798" w:type="dxa"/>
            <w:gridSpan w:val="5"/>
            <w:shd w:val="clear" w:color="auto" w:fill="auto"/>
          </w:tcPr>
          <w:p w:rsidR="00AD46F1" w:rsidRPr="00B20FD7" w:rsidRDefault="00AD46F1" w:rsidP="00AD46F1">
            <w:pPr>
              <w:jc w:val="both"/>
              <w:rPr>
                <w:sz w:val="28"/>
                <w:szCs w:val="28"/>
                <w:lang w:val="uk-UA"/>
              </w:rPr>
            </w:pPr>
            <w:r w:rsidRPr="00B20FD7">
              <w:rPr>
                <w:sz w:val="28"/>
                <w:szCs w:val="28"/>
                <w:lang w:val="uk-UA"/>
              </w:rPr>
              <w:t>українська</w:t>
            </w:r>
            <w:r w:rsidRPr="00B20FD7"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</w:tc>
      </w:tr>
      <w:tr w:rsidR="00312C90" w:rsidRPr="00B20FD7" w:rsidTr="00B20FD7">
        <w:trPr>
          <w:gridAfter w:val="2"/>
          <w:wAfter w:w="36" w:type="dxa"/>
        </w:trPr>
        <w:tc>
          <w:tcPr>
            <w:tcW w:w="2547" w:type="dxa"/>
            <w:gridSpan w:val="3"/>
            <w:shd w:val="clear" w:color="auto" w:fill="auto"/>
          </w:tcPr>
          <w:p w:rsidR="00312C90" w:rsidRPr="00B20FD7" w:rsidRDefault="00312C90" w:rsidP="00493358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  <w:lang w:val="uk-UA"/>
              </w:rPr>
            </w:pPr>
            <w:r w:rsidRPr="00B20FD7">
              <w:rPr>
                <w:b/>
                <w:bCs/>
                <w:sz w:val="28"/>
                <w:szCs w:val="28"/>
                <w:lang w:val="uk-UA"/>
              </w:rPr>
              <w:t>Методи навчання</w:t>
            </w:r>
          </w:p>
        </w:tc>
        <w:tc>
          <w:tcPr>
            <w:tcW w:w="6798" w:type="dxa"/>
            <w:gridSpan w:val="5"/>
            <w:shd w:val="clear" w:color="auto" w:fill="auto"/>
          </w:tcPr>
          <w:p w:rsidR="00312C90" w:rsidRPr="00B20FD7" w:rsidRDefault="00312C90" w:rsidP="005550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B20FD7">
              <w:rPr>
                <w:sz w:val="28"/>
                <w:szCs w:val="28"/>
                <w:lang w:val="uk-UA"/>
              </w:rPr>
              <w:t xml:space="preserve">Лекційні заняття, практичні заняття, </w:t>
            </w:r>
            <w:proofErr w:type="spellStart"/>
            <w:r w:rsidRPr="00B20FD7">
              <w:rPr>
                <w:sz w:val="28"/>
                <w:szCs w:val="28"/>
                <w:lang w:val="uk-UA"/>
              </w:rPr>
              <w:t>пояснювально</w:t>
            </w:r>
            <w:proofErr w:type="spellEnd"/>
            <w:r w:rsidRPr="00B20FD7">
              <w:rPr>
                <w:sz w:val="28"/>
                <w:szCs w:val="28"/>
                <w:lang w:val="uk-UA"/>
              </w:rPr>
              <w:t>-ілюстративний, проблемно-пошуковий (метод проблемного викладу), розбір конкретних ситуацій, презентації-виступи, семінари-дискусії, колоквіум, консультації, мозкові атаки, самонавчання.</w:t>
            </w:r>
          </w:p>
        </w:tc>
      </w:tr>
      <w:tr w:rsidR="002F3CE8" w:rsidRPr="00B20FD7" w:rsidTr="00B20FD7">
        <w:trPr>
          <w:gridAfter w:val="2"/>
          <w:wAfter w:w="36" w:type="dxa"/>
        </w:trPr>
        <w:tc>
          <w:tcPr>
            <w:tcW w:w="2547" w:type="dxa"/>
            <w:gridSpan w:val="3"/>
            <w:shd w:val="clear" w:color="auto" w:fill="auto"/>
          </w:tcPr>
          <w:p w:rsidR="002F3CE8" w:rsidRPr="00B20FD7" w:rsidRDefault="002F3CE8" w:rsidP="00E756F0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B20FD7">
              <w:rPr>
                <w:b/>
                <w:sz w:val="28"/>
                <w:szCs w:val="28"/>
                <w:lang w:val="uk-UA"/>
              </w:rPr>
              <w:t>Консультації</w:t>
            </w:r>
          </w:p>
        </w:tc>
        <w:tc>
          <w:tcPr>
            <w:tcW w:w="6798" w:type="dxa"/>
            <w:gridSpan w:val="5"/>
            <w:shd w:val="clear" w:color="auto" w:fill="auto"/>
          </w:tcPr>
          <w:p w:rsidR="002F3CE8" w:rsidRPr="00B20FD7" w:rsidRDefault="002F3CE8" w:rsidP="005550D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uk-UA"/>
              </w:rPr>
            </w:pPr>
            <w:r w:rsidRPr="00B20FD7">
              <w:rPr>
                <w:sz w:val="28"/>
                <w:szCs w:val="28"/>
                <w:lang w:val="uk-UA"/>
              </w:rPr>
              <w:t xml:space="preserve">Консультації проводяться відповідно до </w:t>
            </w:r>
            <w:r w:rsidR="008C7BDF" w:rsidRPr="00B20FD7">
              <w:rPr>
                <w:sz w:val="28"/>
                <w:szCs w:val="28"/>
                <w:lang w:val="uk-UA"/>
              </w:rPr>
              <w:t>г</w:t>
            </w:r>
            <w:r w:rsidRPr="00B20FD7">
              <w:rPr>
                <w:sz w:val="28"/>
                <w:szCs w:val="28"/>
                <w:lang w:val="uk-UA"/>
              </w:rPr>
              <w:t>рафіку індивідуальних занять зі студентами, розміщеному на інформаційному стенді</w:t>
            </w:r>
            <w:r w:rsidR="008C7BDF" w:rsidRPr="00B20FD7">
              <w:rPr>
                <w:sz w:val="28"/>
                <w:szCs w:val="28"/>
                <w:lang w:val="uk-UA"/>
              </w:rPr>
              <w:t xml:space="preserve">. Очні консультації можливі також  в день проведення лекцій/практичних занять. Усі запитання можна надсилати на електронну пошту, що вказана в </w:t>
            </w:r>
            <w:proofErr w:type="spellStart"/>
            <w:r w:rsidR="008C7BDF" w:rsidRPr="00B20FD7">
              <w:rPr>
                <w:sz w:val="28"/>
                <w:szCs w:val="28"/>
                <w:lang w:val="uk-UA"/>
              </w:rPr>
              <w:t>силабусі</w:t>
            </w:r>
            <w:proofErr w:type="spellEnd"/>
            <w:r w:rsidR="008C7BDF" w:rsidRPr="00B20FD7">
              <w:rPr>
                <w:sz w:val="28"/>
                <w:szCs w:val="28"/>
                <w:lang w:val="uk-UA"/>
              </w:rPr>
              <w:t xml:space="preserve">, зокрема, що стосується погодження планів та змісту індивідуальних науково-дослідних завдань. Відпрацювання проводяться </w:t>
            </w:r>
            <w:r w:rsidR="00531A95" w:rsidRPr="00B20FD7">
              <w:rPr>
                <w:sz w:val="28"/>
                <w:szCs w:val="28"/>
                <w:lang w:val="uk-UA"/>
              </w:rPr>
              <w:t>кожного ч</w:t>
            </w:r>
            <w:r w:rsidR="008C7BDF" w:rsidRPr="00B20FD7">
              <w:rPr>
                <w:sz w:val="28"/>
                <w:szCs w:val="28"/>
                <w:lang w:val="uk-UA"/>
              </w:rPr>
              <w:t>етверга.</w:t>
            </w:r>
          </w:p>
        </w:tc>
      </w:tr>
      <w:tr w:rsidR="002F3CE8" w:rsidRPr="00B20FD7" w:rsidTr="00B20FD7">
        <w:trPr>
          <w:gridAfter w:val="2"/>
          <w:wAfter w:w="36" w:type="dxa"/>
          <w:trHeight w:val="454"/>
        </w:trPr>
        <w:tc>
          <w:tcPr>
            <w:tcW w:w="9345" w:type="dxa"/>
            <w:gridSpan w:val="8"/>
            <w:shd w:val="clear" w:color="auto" w:fill="auto"/>
            <w:vAlign w:val="center"/>
          </w:tcPr>
          <w:p w:rsidR="002F3CE8" w:rsidRPr="00B20FD7" w:rsidRDefault="002F3CE8" w:rsidP="005550DC">
            <w:pPr>
              <w:jc w:val="center"/>
              <w:rPr>
                <w:sz w:val="28"/>
                <w:szCs w:val="28"/>
                <w:lang w:val="uk-UA"/>
              </w:rPr>
            </w:pPr>
            <w:r w:rsidRPr="00B20FD7">
              <w:rPr>
                <w:b/>
                <w:sz w:val="28"/>
                <w:szCs w:val="28"/>
                <w:lang w:val="uk-UA"/>
              </w:rPr>
              <w:t>2. Анотація до навчальної дисципліни</w:t>
            </w:r>
          </w:p>
        </w:tc>
      </w:tr>
      <w:tr w:rsidR="002F3CE8" w:rsidRPr="00B20FD7" w:rsidTr="00B20FD7">
        <w:trPr>
          <w:gridAfter w:val="2"/>
          <w:wAfter w:w="36" w:type="dxa"/>
        </w:trPr>
        <w:tc>
          <w:tcPr>
            <w:tcW w:w="9345" w:type="dxa"/>
            <w:gridSpan w:val="8"/>
            <w:shd w:val="clear" w:color="auto" w:fill="auto"/>
          </w:tcPr>
          <w:p w:rsidR="00A07CD2" w:rsidRPr="00B20FD7" w:rsidRDefault="002F3CE8" w:rsidP="00E756F0">
            <w:pPr>
              <w:ind w:firstLine="310"/>
              <w:jc w:val="both"/>
              <w:rPr>
                <w:sz w:val="28"/>
                <w:szCs w:val="28"/>
                <w:lang w:val="uk-UA"/>
              </w:rPr>
            </w:pPr>
            <w:r w:rsidRPr="00B20FD7">
              <w:rPr>
                <w:sz w:val="28"/>
                <w:szCs w:val="28"/>
                <w:u w:val="single"/>
                <w:lang w:val="uk-UA"/>
              </w:rPr>
              <w:t>Предметом</w:t>
            </w:r>
            <w:r w:rsidRPr="00B20FD7">
              <w:rPr>
                <w:sz w:val="28"/>
                <w:szCs w:val="28"/>
                <w:lang w:val="uk-UA"/>
              </w:rPr>
              <w:t xml:space="preserve"> </w:t>
            </w:r>
            <w:r w:rsidR="00A07CD2" w:rsidRPr="00B20FD7">
              <w:rPr>
                <w:sz w:val="28"/>
                <w:szCs w:val="28"/>
                <w:lang w:val="uk-UA"/>
              </w:rPr>
              <w:t>курсу є приватне (цивільне) право античного Риму. Основна увага приділяється правовим інститутам, які були найбільшою мірою опрацьовані юристами стародавнього Риму та зумовили подальший розвиток приватного (цивільного) права майже всіх держав континентальної Європи і більшості країн світу, в тому числі сучасної України.</w:t>
            </w:r>
          </w:p>
          <w:p w:rsidR="002F3CE8" w:rsidRPr="00B20FD7" w:rsidRDefault="002F3CE8" w:rsidP="00E756F0">
            <w:pPr>
              <w:ind w:firstLine="310"/>
              <w:jc w:val="both"/>
              <w:rPr>
                <w:sz w:val="28"/>
                <w:szCs w:val="28"/>
                <w:lang w:val="uk-UA"/>
              </w:rPr>
            </w:pPr>
            <w:r w:rsidRPr="00B20FD7">
              <w:rPr>
                <w:sz w:val="28"/>
                <w:szCs w:val="28"/>
                <w:lang w:val="uk-UA"/>
              </w:rPr>
              <w:t>Програма навчальної д</w:t>
            </w:r>
            <w:bookmarkStart w:id="0" w:name="_GoBack"/>
            <w:bookmarkEnd w:id="0"/>
            <w:r w:rsidRPr="00B20FD7">
              <w:rPr>
                <w:sz w:val="28"/>
                <w:szCs w:val="28"/>
                <w:lang w:val="uk-UA"/>
              </w:rPr>
              <w:t xml:space="preserve">исципліни складається з таких </w:t>
            </w:r>
            <w:r w:rsidRPr="00B20FD7">
              <w:rPr>
                <w:b/>
                <w:sz w:val="28"/>
                <w:szCs w:val="28"/>
                <w:lang w:val="uk-UA"/>
              </w:rPr>
              <w:t>змістових модулів</w:t>
            </w:r>
            <w:r w:rsidRPr="00B20FD7">
              <w:rPr>
                <w:sz w:val="28"/>
                <w:szCs w:val="28"/>
                <w:lang w:val="uk-UA"/>
              </w:rPr>
              <w:t>:</w:t>
            </w:r>
          </w:p>
          <w:p w:rsidR="002F3CE8" w:rsidRPr="00B20FD7" w:rsidRDefault="002F3CE8" w:rsidP="00E756F0">
            <w:pPr>
              <w:autoSpaceDE w:val="0"/>
              <w:autoSpaceDN w:val="0"/>
              <w:adjustRightInd w:val="0"/>
              <w:ind w:firstLine="310"/>
              <w:jc w:val="both"/>
              <w:rPr>
                <w:sz w:val="28"/>
                <w:szCs w:val="28"/>
                <w:lang w:val="uk-UA"/>
              </w:rPr>
            </w:pPr>
            <w:r w:rsidRPr="00B20FD7">
              <w:rPr>
                <w:sz w:val="28"/>
                <w:szCs w:val="28"/>
                <w:lang w:val="uk-UA"/>
              </w:rPr>
              <w:t>1. Правовий статус особи в римському приватному праві.</w:t>
            </w:r>
          </w:p>
          <w:p w:rsidR="002F3CE8" w:rsidRPr="00B20FD7" w:rsidRDefault="002F3CE8" w:rsidP="00E756F0">
            <w:pPr>
              <w:autoSpaceDE w:val="0"/>
              <w:autoSpaceDN w:val="0"/>
              <w:adjustRightInd w:val="0"/>
              <w:ind w:firstLine="310"/>
              <w:jc w:val="both"/>
              <w:rPr>
                <w:sz w:val="28"/>
                <w:szCs w:val="28"/>
                <w:lang w:val="uk-UA"/>
              </w:rPr>
            </w:pPr>
            <w:r w:rsidRPr="00B20FD7">
              <w:rPr>
                <w:sz w:val="28"/>
                <w:szCs w:val="28"/>
                <w:lang w:val="uk-UA"/>
              </w:rPr>
              <w:t>2. Зобов'язальні правовідносини в римському приватному праві.</w:t>
            </w:r>
          </w:p>
          <w:p w:rsidR="002F3CE8" w:rsidRPr="00B20FD7" w:rsidRDefault="002F3CE8" w:rsidP="00E756F0">
            <w:pPr>
              <w:autoSpaceDE w:val="0"/>
              <w:autoSpaceDN w:val="0"/>
              <w:adjustRightInd w:val="0"/>
              <w:ind w:firstLine="310"/>
              <w:jc w:val="both"/>
              <w:rPr>
                <w:sz w:val="28"/>
                <w:szCs w:val="28"/>
                <w:lang w:val="uk-UA"/>
              </w:rPr>
            </w:pPr>
            <w:r w:rsidRPr="00B20FD7">
              <w:rPr>
                <w:sz w:val="28"/>
                <w:szCs w:val="28"/>
                <w:lang w:val="uk-UA"/>
              </w:rPr>
              <w:t>Римське приватне право є історично сформованою системою права, яка регулювала майнові та особисті немайнові відносини (цивільні відносини) у сфері приватного інтересу особи, та яка відіграла виключну роль у розвитку сучасної світової цивілістики. Навчальна дисципліна «</w:t>
            </w:r>
            <w:r w:rsidR="00A07CD2" w:rsidRPr="00B20FD7">
              <w:rPr>
                <w:sz w:val="28"/>
                <w:szCs w:val="28"/>
                <w:lang w:val="uk-UA"/>
              </w:rPr>
              <w:t>Р</w:t>
            </w:r>
            <w:r w:rsidRPr="00B20FD7">
              <w:rPr>
                <w:sz w:val="28"/>
                <w:szCs w:val="28"/>
                <w:lang w:val="uk-UA"/>
              </w:rPr>
              <w:t>имськ</w:t>
            </w:r>
            <w:r w:rsidR="00A07CD2" w:rsidRPr="00B20FD7">
              <w:rPr>
                <w:sz w:val="28"/>
                <w:szCs w:val="28"/>
                <w:lang w:val="uk-UA"/>
              </w:rPr>
              <w:t>е</w:t>
            </w:r>
            <w:r w:rsidRPr="00B20FD7">
              <w:rPr>
                <w:sz w:val="28"/>
                <w:szCs w:val="28"/>
                <w:lang w:val="uk-UA"/>
              </w:rPr>
              <w:t xml:space="preserve"> приватн</w:t>
            </w:r>
            <w:r w:rsidR="00A07CD2" w:rsidRPr="00B20FD7">
              <w:rPr>
                <w:sz w:val="28"/>
                <w:szCs w:val="28"/>
                <w:lang w:val="uk-UA"/>
              </w:rPr>
              <w:t>е</w:t>
            </w:r>
            <w:r w:rsidRPr="00B20FD7">
              <w:rPr>
                <w:sz w:val="28"/>
                <w:szCs w:val="28"/>
                <w:lang w:val="uk-UA"/>
              </w:rPr>
              <w:t xml:space="preserve"> </w:t>
            </w:r>
            <w:r w:rsidRPr="00B20FD7">
              <w:rPr>
                <w:sz w:val="28"/>
                <w:szCs w:val="28"/>
                <w:lang w:val="uk-UA"/>
              </w:rPr>
              <w:lastRenderedPageBreak/>
              <w:t>прав</w:t>
            </w:r>
            <w:r w:rsidR="00A07CD2" w:rsidRPr="00B20FD7">
              <w:rPr>
                <w:sz w:val="28"/>
                <w:szCs w:val="28"/>
                <w:lang w:val="uk-UA"/>
              </w:rPr>
              <w:t>о</w:t>
            </w:r>
            <w:r w:rsidRPr="00B20FD7">
              <w:rPr>
                <w:sz w:val="28"/>
                <w:szCs w:val="28"/>
                <w:lang w:val="uk-UA"/>
              </w:rPr>
              <w:t>» закладає основи правової культури, юриспруденції загалом, а також дає знання про історію становлення та розвитку основоположних інститутів приватного права.</w:t>
            </w:r>
          </w:p>
          <w:p w:rsidR="002F3CE8" w:rsidRPr="00B20FD7" w:rsidRDefault="002F3CE8" w:rsidP="00E756F0">
            <w:pPr>
              <w:autoSpaceDE w:val="0"/>
              <w:autoSpaceDN w:val="0"/>
              <w:adjustRightInd w:val="0"/>
              <w:ind w:firstLine="310"/>
              <w:jc w:val="both"/>
              <w:rPr>
                <w:sz w:val="28"/>
                <w:szCs w:val="28"/>
                <w:lang w:val="uk-UA"/>
              </w:rPr>
            </w:pPr>
            <w:r w:rsidRPr="00B20FD7">
              <w:rPr>
                <w:sz w:val="28"/>
                <w:szCs w:val="28"/>
                <w:u w:val="single"/>
                <w:lang w:val="uk-UA"/>
              </w:rPr>
              <w:t>Основними джерелами</w:t>
            </w:r>
            <w:r w:rsidRPr="00B20FD7">
              <w:rPr>
                <w:sz w:val="28"/>
                <w:szCs w:val="28"/>
                <w:lang w:val="uk-UA"/>
              </w:rPr>
              <w:t xml:space="preserve"> навчальної дисципліни виступають Закони ХІІ таблиць, окремі види законів Стародавнього Риму (постанови народних зборів, постанови сенату, імператорські конституції), праці римських юристів, Звід законів Юстиніана (</w:t>
            </w:r>
            <w:proofErr w:type="spellStart"/>
            <w:r w:rsidRPr="00B20FD7">
              <w:rPr>
                <w:sz w:val="28"/>
                <w:szCs w:val="28"/>
                <w:lang w:val="uk-UA"/>
              </w:rPr>
              <w:t>Дигести</w:t>
            </w:r>
            <w:proofErr w:type="spellEnd"/>
            <w:r w:rsidRPr="00B20FD7">
              <w:rPr>
                <w:sz w:val="28"/>
                <w:szCs w:val="28"/>
                <w:lang w:val="uk-UA"/>
              </w:rPr>
              <w:t>, Кодекс, Інституції, Новели).</w:t>
            </w:r>
          </w:p>
          <w:p w:rsidR="00FF515F" w:rsidRPr="00B20FD7" w:rsidRDefault="002F3CE8" w:rsidP="00B20FD7">
            <w:pPr>
              <w:autoSpaceDE w:val="0"/>
              <w:autoSpaceDN w:val="0"/>
              <w:adjustRightInd w:val="0"/>
              <w:ind w:firstLine="310"/>
              <w:jc w:val="both"/>
              <w:rPr>
                <w:sz w:val="28"/>
                <w:szCs w:val="28"/>
                <w:lang w:val="uk-UA"/>
              </w:rPr>
            </w:pPr>
            <w:r w:rsidRPr="00B20FD7">
              <w:rPr>
                <w:sz w:val="28"/>
                <w:szCs w:val="28"/>
                <w:lang w:val="uk-UA"/>
              </w:rPr>
              <w:t xml:space="preserve">Вивчення римського приватного права в умовах формування цілісної ефективної системи приватного права, </w:t>
            </w:r>
            <w:proofErr w:type="spellStart"/>
            <w:r w:rsidRPr="00B20FD7">
              <w:rPr>
                <w:sz w:val="28"/>
                <w:szCs w:val="28"/>
                <w:lang w:val="uk-UA"/>
              </w:rPr>
              <w:t>рекодифікації</w:t>
            </w:r>
            <w:proofErr w:type="spellEnd"/>
            <w:r w:rsidRPr="00B20FD7">
              <w:rPr>
                <w:sz w:val="28"/>
                <w:szCs w:val="28"/>
                <w:lang w:val="uk-UA"/>
              </w:rPr>
              <w:t xml:space="preserve"> окремих приватно-правових інститутів виступає основою базової підготовки студента-юриста, дає ті засоби і навички, які є необхідні для формування юридичного способу мислення, сприяє розумінню суті, техніки та логіки побудови сучасних нормативно-правових актів. Вивчаючи римське право, студент вчиться аналізувати норми права не тільки в статиці, а й у динаміці історичного розвитку, що надає можливість всебічного оволодіння правовими знаннями та розвитку його професійної правосвідомості. Римське приватне право сприяє у підготовці фахівців, спроможних забезпечити повноцінну інтеграцію України у світове співтовариство.</w:t>
            </w:r>
          </w:p>
        </w:tc>
      </w:tr>
      <w:tr w:rsidR="002F3CE8" w:rsidRPr="00B20FD7" w:rsidTr="00B20FD7">
        <w:trPr>
          <w:gridAfter w:val="2"/>
          <w:wAfter w:w="36" w:type="dxa"/>
          <w:trHeight w:val="454"/>
        </w:trPr>
        <w:tc>
          <w:tcPr>
            <w:tcW w:w="9345" w:type="dxa"/>
            <w:gridSpan w:val="8"/>
            <w:shd w:val="clear" w:color="auto" w:fill="auto"/>
            <w:vAlign w:val="center"/>
          </w:tcPr>
          <w:p w:rsidR="002F3CE8" w:rsidRPr="00B20FD7" w:rsidRDefault="00A07CD2" w:rsidP="005550D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20FD7">
              <w:rPr>
                <w:b/>
                <w:sz w:val="28"/>
                <w:szCs w:val="28"/>
                <w:lang w:val="uk-UA"/>
              </w:rPr>
              <w:lastRenderedPageBreak/>
              <w:t>3</w:t>
            </w:r>
            <w:r w:rsidR="002F3CE8" w:rsidRPr="00B20FD7">
              <w:rPr>
                <w:b/>
                <w:sz w:val="28"/>
                <w:szCs w:val="28"/>
                <w:lang w:val="uk-UA"/>
              </w:rPr>
              <w:t>. Результати навчання (компетентності)</w:t>
            </w:r>
          </w:p>
        </w:tc>
      </w:tr>
      <w:tr w:rsidR="002F3CE8" w:rsidRPr="00B20FD7" w:rsidTr="00B20FD7">
        <w:trPr>
          <w:gridAfter w:val="2"/>
          <w:wAfter w:w="36" w:type="dxa"/>
        </w:trPr>
        <w:tc>
          <w:tcPr>
            <w:tcW w:w="9345" w:type="dxa"/>
            <w:gridSpan w:val="8"/>
            <w:shd w:val="clear" w:color="auto" w:fill="auto"/>
          </w:tcPr>
          <w:p w:rsidR="00833823" w:rsidRPr="00B20FD7" w:rsidRDefault="00833823" w:rsidP="005550DC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F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Мислити </w:t>
            </w:r>
            <w:proofErr w:type="spellStart"/>
            <w:r w:rsidRPr="00B20F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абстрактно</w:t>
            </w:r>
            <w:proofErr w:type="spellEnd"/>
            <w:r w:rsidRPr="00B20F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й аналітично, синтезувати загальні знання насамперед із римського приватного права. </w:t>
            </w:r>
          </w:p>
          <w:p w:rsidR="00833823" w:rsidRPr="00B20FD7" w:rsidRDefault="00833823" w:rsidP="005550DC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F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Демонструвати вміння вільно оперувати юридичними поняттями, термінами римського приватного права.</w:t>
            </w:r>
          </w:p>
          <w:p w:rsidR="00833823" w:rsidRPr="00B20FD7" w:rsidRDefault="00833823" w:rsidP="005550DC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F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Проводити збір і інтегрований аналіз матеріалів з різних джерел римського приватного права, працювати з історичними джерелами, аналізувати їх та узагальнювати у відповідності до наукових критеріїв, формулювати юридичні питання в абстрактно-теоретичному рівні.</w:t>
            </w:r>
          </w:p>
          <w:p w:rsidR="00833823" w:rsidRPr="00B20FD7" w:rsidRDefault="00833823" w:rsidP="005550DC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F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Вміння правильно тлумачити і застосовувати джерела римського приватного права, норми римського приватного права.</w:t>
            </w:r>
          </w:p>
          <w:p w:rsidR="00833823" w:rsidRPr="00B20FD7" w:rsidRDefault="00833823" w:rsidP="005550DC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F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Вміння аналізувати правові явища з використанням понять та інших правових засобів, вироблених юристами Стародавнього Риму;</w:t>
            </w:r>
          </w:p>
          <w:p w:rsidR="00833823" w:rsidRPr="00B20FD7" w:rsidRDefault="00833823" w:rsidP="005550DC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F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Здійснювати аналіз основних положень римського приватного права, визначати загальні та специфічні риси інститутів приватного права, віднаходити паралелі та відмінності з чинним цивільним правом України та правом інших країн.</w:t>
            </w:r>
          </w:p>
          <w:p w:rsidR="00833823" w:rsidRPr="00B20FD7" w:rsidRDefault="00833823" w:rsidP="005550DC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F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Демонструвати знання і навички з основних проблемних питань римського приватного права, формулювати власні обґрунтовані судження на основі аналізу відомої проблеми.</w:t>
            </w:r>
          </w:p>
          <w:p w:rsidR="00833823" w:rsidRPr="00B20FD7" w:rsidRDefault="00833823" w:rsidP="005550DC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0F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Вміння визначати зміст та юридичну природу основних інститутів римського приватного права.</w:t>
            </w:r>
          </w:p>
          <w:p w:rsidR="002A68A0" w:rsidRPr="00B20FD7" w:rsidRDefault="00833823" w:rsidP="005550DC">
            <w:pPr>
              <w:pStyle w:val="a7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0F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Демонструвати вміння визначення межі можливого використання набутих знань із римського приватного права у процесі сучасного </w:t>
            </w:r>
            <w:proofErr w:type="spellStart"/>
            <w:r w:rsidRPr="00B20F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правотворення</w:t>
            </w:r>
            <w:proofErr w:type="spellEnd"/>
            <w:r w:rsidRPr="00B20FD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2F3CE8" w:rsidRPr="00B20FD7" w:rsidTr="00B20FD7">
        <w:trPr>
          <w:gridAfter w:val="2"/>
          <w:wAfter w:w="36" w:type="dxa"/>
        </w:trPr>
        <w:tc>
          <w:tcPr>
            <w:tcW w:w="9345" w:type="dxa"/>
            <w:gridSpan w:val="8"/>
            <w:shd w:val="clear" w:color="auto" w:fill="auto"/>
          </w:tcPr>
          <w:p w:rsidR="002F3CE8" w:rsidRPr="00B20FD7" w:rsidRDefault="00E1310B" w:rsidP="00E1310B">
            <w:pPr>
              <w:widowControl w:val="0"/>
              <w:jc w:val="both"/>
              <w:rPr>
                <w:sz w:val="28"/>
                <w:szCs w:val="28"/>
                <w:lang w:val="uk-UA"/>
              </w:rPr>
            </w:pPr>
            <w:r w:rsidRPr="00B20FD7">
              <w:rPr>
                <w:b/>
                <w:sz w:val="28"/>
                <w:szCs w:val="28"/>
                <w:lang w:val="uk-UA"/>
              </w:rPr>
              <w:lastRenderedPageBreak/>
              <w:t xml:space="preserve">3.1. Програмні результати навчання </w:t>
            </w:r>
            <w:r w:rsidRPr="00B20FD7">
              <w:rPr>
                <w:sz w:val="28"/>
                <w:szCs w:val="28"/>
                <w:lang w:val="uk-UA"/>
              </w:rPr>
              <w:t xml:space="preserve">ПРН-1: Мислити </w:t>
            </w:r>
            <w:proofErr w:type="spellStart"/>
            <w:r w:rsidRPr="00B20FD7">
              <w:rPr>
                <w:sz w:val="28"/>
                <w:szCs w:val="28"/>
                <w:lang w:val="uk-UA"/>
              </w:rPr>
              <w:t>абстрактно</w:t>
            </w:r>
            <w:proofErr w:type="spellEnd"/>
            <w:r w:rsidRPr="00B20FD7">
              <w:rPr>
                <w:sz w:val="28"/>
                <w:szCs w:val="28"/>
                <w:lang w:val="uk-UA"/>
              </w:rPr>
              <w:t xml:space="preserve"> й аналітично, синтезувати загальні знання, зокрема, із римського приватного права. ПРН-2: Демонструвати вміння вільно оперувати юридичними поняттями, термінами римського приватного права. Розуміти базові теоретико-правові підходи, на основі яких здійснюється тлумачення та застосування норм і принципів права, та визначати тенденції його розвитку.</w:t>
            </w:r>
            <w:r w:rsidR="00B86638" w:rsidRPr="00B20FD7">
              <w:rPr>
                <w:sz w:val="28"/>
                <w:szCs w:val="28"/>
                <w:lang w:val="uk-UA"/>
              </w:rPr>
              <w:t xml:space="preserve"> ПРН-3: </w:t>
            </w:r>
            <w:r w:rsidRPr="00B20FD7">
              <w:rPr>
                <w:sz w:val="28"/>
                <w:szCs w:val="28"/>
                <w:lang w:val="uk-UA"/>
              </w:rPr>
              <w:t>Проводити збір і інтегрований аналіз матеріалів з різних джерел римського приватного права, працювати з історичними джерелами, аналізувати їх та узагальнювати у відповідності до наукових критеріїв.</w:t>
            </w:r>
            <w:r w:rsidR="00B86638" w:rsidRPr="00B20FD7">
              <w:rPr>
                <w:sz w:val="28"/>
                <w:szCs w:val="28"/>
                <w:lang w:val="uk-UA"/>
              </w:rPr>
              <w:t xml:space="preserve"> </w:t>
            </w:r>
            <w:r w:rsidRPr="00B20FD7">
              <w:rPr>
                <w:sz w:val="28"/>
                <w:szCs w:val="28"/>
                <w:lang w:val="uk-UA"/>
              </w:rPr>
              <w:t>Формулювати юридичні питання в абстрактно-теоретичному рівні.</w:t>
            </w:r>
          </w:p>
        </w:tc>
      </w:tr>
      <w:tr w:rsidR="00E1310B" w:rsidRPr="00B20FD7" w:rsidTr="00B20FD7">
        <w:trPr>
          <w:gridAfter w:val="2"/>
          <w:wAfter w:w="36" w:type="dxa"/>
          <w:trHeight w:val="454"/>
        </w:trPr>
        <w:tc>
          <w:tcPr>
            <w:tcW w:w="9345" w:type="dxa"/>
            <w:gridSpan w:val="8"/>
            <w:shd w:val="clear" w:color="auto" w:fill="auto"/>
            <w:vAlign w:val="center"/>
          </w:tcPr>
          <w:p w:rsidR="00E1310B" w:rsidRPr="00B20FD7" w:rsidRDefault="00E1310B" w:rsidP="005550D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20FD7">
              <w:rPr>
                <w:b/>
                <w:sz w:val="28"/>
                <w:szCs w:val="28"/>
                <w:lang w:val="uk-UA"/>
              </w:rPr>
              <w:t>4. Організація навчання</w:t>
            </w:r>
          </w:p>
        </w:tc>
      </w:tr>
      <w:tr w:rsidR="002F3CE8" w:rsidRPr="00B20FD7" w:rsidTr="00B20FD7">
        <w:trPr>
          <w:gridAfter w:val="2"/>
          <w:wAfter w:w="36" w:type="dxa"/>
        </w:trPr>
        <w:tc>
          <w:tcPr>
            <w:tcW w:w="9345" w:type="dxa"/>
            <w:gridSpan w:val="8"/>
            <w:shd w:val="clear" w:color="auto" w:fill="auto"/>
          </w:tcPr>
          <w:p w:rsidR="002F3CE8" w:rsidRPr="00B20FD7" w:rsidRDefault="002F3CE8" w:rsidP="00E756F0">
            <w:pPr>
              <w:jc w:val="center"/>
              <w:rPr>
                <w:sz w:val="28"/>
                <w:szCs w:val="28"/>
                <w:lang w:val="uk-UA"/>
              </w:rPr>
            </w:pPr>
            <w:r w:rsidRPr="00B20FD7">
              <w:rPr>
                <w:sz w:val="28"/>
                <w:szCs w:val="28"/>
                <w:lang w:val="uk-UA"/>
              </w:rPr>
              <w:t>Тематика навчальної дисципліни</w:t>
            </w:r>
          </w:p>
        </w:tc>
      </w:tr>
      <w:tr w:rsidR="00A961F4" w:rsidRPr="00B20FD7" w:rsidTr="00B20FD7">
        <w:tblPrEx>
          <w:tblLook w:val="01E0" w:firstRow="1" w:lastRow="1" w:firstColumn="1" w:lastColumn="1" w:noHBand="0" w:noVBand="0"/>
        </w:tblPrEx>
        <w:trPr>
          <w:gridAfter w:val="1"/>
          <w:wAfter w:w="25" w:type="dxa"/>
          <w:trHeight w:val="294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A961F4" w:rsidRPr="00B20FD7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vMerge w:val="restart"/>
            <w:shd w:val="clear" w:color="auto" w:fill="auto"/>
            <w:vAlign w:val="center"/>
          </w:tcPr>
          <w:p w:rsidR="00A961F4" w:rsidRPr="00B20FD7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FD7">
              <w:rPr>
                <w:rFonts w:ascii="Times New Roman" w:eastAsia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961F4" w:rsidRPr="00B20FD7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FD7">
              <w:rPr>
                <w:rFonts w:ascii="Times New Roman" w:eastAsia="Times New Roman" w:hAnsi="Times New Roman" w:cs="Times New Roman"/>
                <w:sz w:val="28"/>
                <w:szCs w:val="28"/>
              </w:rPr>
              <w:t>Всього</w:t>
            </w: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A961F4" w:rsidRPr="00B20FD7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FD7"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 годин</w:t>
            </w:r>
          </w:p>
        </w:tc>
      </w:tr>
      <w:tr w:rsidR="00A961F4" w:rsidRPr="00B20FD7" w:rsidTr="00B20FD7">
        <w:tblPrEx>
          <w:tblLook w:val="01E0" w:firstRow="1" w:lastRow="1" w:firstColumn="1" w:lastColumn="1" w:noHBand="0" w:noVBand="0"/>
        </w:tblPrEx>
        <w:trPr>
          <w:gridAfter w:val="1"/>
          <w:wAfter w:w="25" w:type="dxa"/>
          <w:trHeight w:val="314"/>
        </w:trPr>
        <w:tc>
          <w:tcPr>
            <w:tcW w:w="1560" w:type="dxa"/>
            <w:vMerge/>
            <w:shd w:val="clear" w:color="auto" w:fill="auto"/>
            <w:vAlign w:val="center"/>
          </w:tcPr>
          <w:p w:rsidR="00A961F4" w:rsidRPr="00B20FD7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vMerge/>
            <w:shd w:val="clear" w:color="auto" w:fill="auto"/>
            <w:vAlign w:val="center"/>
          </w:tcPr>
          <w:p w:rsidR="00A961F4" w:rsidRPr="00B20FD7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1F4" w:rsidRPr="00B20FD7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961F4" w:rsidRPr="00B20FD7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FD7">
              <w:rPr>
                <w:rFonts w:ascii="Times New Roman" w:eastAsia="Times New Roman" w:hAnsi="Times New Roman" w:cs="Times New Roman"/>
                <w:sz w:val="28"/>
                <w:szCs w:val="28"/>
              </w:rPr>
              <w:t>Лекції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F4" w:rsidRPr="00B20FD7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FD7">
              <w:rPr>
                <w:rFonts w:ascii="Times New Roman" w:eastAsia="Times New Roman" w:hAnsi="Times New Roman" w:cs="Times New Roman"/>
                <w:sz w:val="28"/>
                <w:szCs w:val="28"/>
              </w:rPr>
              <w:t>Семінари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961F4" w:rsidRPr="00B20FD7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FD7">
              <w:rPr>
                <w:rFonts w:ascii="Times New Roman" w:eastAsia="Times New Roman" w:hAnsi="Times New Roman" w:cs="Times New Roman"/>
                <w:sz w:val="28"/>
                <w:szCs w:val="28"/>
              </w:rPr>
              <w:t>Сам. р.</w:t>
            </w:r>
          </w:p>
        </w:tc>
      </w:tr>
      <w:tr w:rsidR="00A961F4" w:rsidRPr="00B20FD7" w:rsidTr="00B20FD7">
        <w:tblPrEx>
          <w:tblLook w:val="01E0" w:firstRow="1" w:lastRow="1" w:firstColumn="1" w:lastColumn="1" w:noHBand="0" w:noVBand="0"/>
        </w:tblPrEx>
        <w:trPr>
          <w:trHeight w:val="320"/>
        </w:trPr>
        <w:tc>
          <w:tcPr>
            <w:tcW w:w="9381" w:type="dxa"/>
            <w:gridSpan w:val="10"/>
            <w:shd w:val="clear" w:color="auto" w:fill="auto"/>
            <w:vAlign w:val="center"/>
          </w:tcPr>
          <w:p w:rsidR="00A961F4" w:rsidRPr="00B20FD7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FD7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І. Загальна частина. Правовий статус особи в римському приватному праві</w:t>
            </w:r>
          </w:p>
        </w:tc>
      </w:tr>
      <w:tr w:rsidR="00A961F4" w:rsidRPr="00B20FD7" w:rsidTr="00B20FD7">
        <w:tblPrEx>
          <w:tblLook w:val="01E0" w:firstRow="1" w:lastRow="1" w:firstColumn="1" w:lastColumn="1" w:noHBand="0" w:noVBand="0"/>
        </w:tblPrEx>
        <w:trPr>
          <w:gridAfter w:val="1"/>
          <w:wAfter w:w="25" w:type="dxa"/>
          <w:trHeight w:val="320"/>
        </w:trPr>
        <w:tc>
          <w:tcPr>
            <w:tcW w:w="1560" w:type="dxa"/>
            <w:vMerge w:val="restart"/>
            <w:shd w:val="clear" w:color="auto" w:fill="auto"/>
          </w:tcPr>
          <w:p w:rsidR="00A961F4" w:rsidRPr="00B20FD7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FD7">
              <w:rPr>
                <w:rFonts w:ascii="Times New Roman" w:eastAsia="Times New Roman" w:hAnsi="Times New Roman" w:cs="Times New Roman"/>
                <w:sz w:val="28"/>
                <w:szCs w:val="28"/>
              </w:rPr>
              <w:t>Загальні положення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961F4" w:rsidRPr="00B20FD7" w:rsidRDefault="00A961F4" w:rsidP="00BB7417">
            <w:pPr>
              <w:pStyle w:val="1"/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FD7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 Поняття римського приватного права та його значення в історії розвитку юриспруденції.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961F4" w:rsidRPr="00B20FD7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FD7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961F4" w:rsidRPr="00B20FD7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FD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F4" w:rsidRPr="00B20FD7" w:rsidRDefault="00A961F4" w:rsidP="00B20FD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FD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A961F4" w:rsidRPr="00B20FD7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FD7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961F4" w:rsidRPr="00B20FD7" w:rsidTr="00B20FD7">
        <w:tblPrEx>
          <w:tblLook w:val="01E0" w:firstRow="1" w:lastRow="1" w:firstColumn="1" w:lastColumn="1" w:noHBand="0" w:noVBand="0"/>
        </w:tblPrEx>
        <w:trPr>
          <w:gridAfter w:val="1"/>
          <w:wAfter w:w="25" w:type="dxa"/>
          <w:trHeight w:val="320"/>
        </w:trPr>
        <w:tc>
          <w:tcPr>
            <w:tcW w:w="1560" w:type="dxa"/>
            <w:vMerge/>
            <w:shd w:val="clear" w:color="auto" w:fill="auto"/>
          </w:tcPr>
          <w:p w:rsidR="00A961F4" w:rsidRPr="00B20FD7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A961F4" w:rsidRPr="00B20FD7" w:rsidRDefault="00A961F4" w:rsidP="00BB7417">
            <w:pPr>
              <w:pStyle w:val="1"/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FD7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2 Предмет та система римського права.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1F4" w:rsidRPr="00B20FD7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1F4" w:rsidRPr="00B20FD7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61F4" w:rsidRPr="00B20FD7" w:rsidRDefault="00B20FD7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FD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961F4" w:rsidRPr="00B20FD7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61F4" w:rsidRPr="00B20FD7" w:rsidTr="00B20FD7">
        <w:tblPrEx>
          <w:tblLook w:val="01E0" w:firstRow="1" w:lastRow="1" w:firstColumn="1" w:lastColumn="1" w:noHBand="0" w:noVBand="0"/>
        </w:tblPrEx>
        <w:trPr>
          <w:gridAfter w:val="1"/>
          <w:wAfter w:w="25" w:type="dxa"/>
          <w:trHeight w:val="320"/>
        </w:trPr>
        <w:tc>
          <w:tcPr>
            <w:tcW w:w="1560" w:type="dxa"/>
            <w:vMerge/>
            <w:shd w:val="clear" w:color="auto" w:fill="auto"/>
          </w:tcPr>
          <w:p w:rsidR="00A961F4" w:rsidRPr="00B20FD7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A961F4" w:rsidRPr="00B20FD7" w:rsidRDefault="00A961F4" w:rsidP="00BB7417">
            <w:pPr>
              <w:pStyle w:val="1"/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FD7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3 Джерела римського права.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1F4" w:rsidRPr="00B20FD7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1F4" w:rsidRPr="00B20FD7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961F4" w:rsidRPr="00B20FD7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F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961F4" w:rsidRPr="00B20FD7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61F4" w:rsidRPr="00B20FD7" w:rsidTr="00B20FD7">
        <w:tblPrEx>
          <w:tblLook w:val="01E0" w:firstRow="1" w:lastRow="1" w:firstColumn="1" w:lastColumn="1" w:noHBand="0" w:noVBand="0"/>
        </w:tblPrEx>
        <w:trPr>
          <w:gridAfter w:val="1"/>
          <w:wAfter w:w="25" w:type="dxa"/>
          <w:trHeight w:val="276"/>
        </w:trPr>
        <w:tc>
          <w:tcPr>
            <w:tcW w:w="1560" w:type="dxa"/>
            <w:vMerge w:val="restart"/>
            <w:shd w:val="clear" w:color="auto" w:fill="auto"/>
          </w:tcPr>
          <w:p w:rsidR="00A961F4" w:rsidRPr="00B20FD7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FD7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Особи</w:t>
            </w:r>
          </w:p>
          <w:p w:rsidR="00A961F4" w:rsidRPr="00B20FD7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A961F4" w:rsidRPr="00B20FD7" w:rsidRDefault="00A961F4" w:rsidP="00BB7417">
            <w:pPr>
              <w:pStyle w:val="1"/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FD7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 Правове становище особи в Римській державі. Суб’єкти цивільних правовідносин.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961F4" w:rsidRPr="00B20FD7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FD7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61F4" w:rsidRPr="00B20FD7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F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F4" w:rsidRPr="00B20FD7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F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A961F4" w:rsidRPr="00B20FD7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FD7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961F4" w:rsidRPr="00B20FD7" w:rsidTr="00B20FD7">
        <w:tblPrEx>
          <w:tblLook w:val="01E0" w:firstRow="1" w:lastRow="1" w:firstColumn="1" w:lastColumn="1" w:noHBand="0" w:noVBand="0"/>
        </w:tblPrEx>
        <w:trPr>
          <w:gridAfter w:val="1"/>
          <w:wAfter w:w="25" w:type="dxa"/>
          <w:trHeight w:val="276"/>
        </w:trPr>
        <w:tc>
          <w:tcPr>
            <w:tcW w:w="1560" w:type="dxa"/>
            <w:vMerge/>
            <w:shd w:val="clear" w:color="auto" w:fill="auto"/>
          </w:tcPr>
          <w:p w:rsidR="00A961F4" w:rsidRPr="00B20FD7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A961F4" w:rsidRPr="00B20FD7" w:rsidRDefault="00A961F4" w:rsidP="00BB7417">
            <w:pPr>
              <w:pStyle w:val="1"/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FD7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2 Здійснення та захист прав. Виникнення суду та його види. Вчення про позов. Позовна давність.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1F4" w:rsidRPr="00B20FD7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961F4" w:rsidRPr="00B20FD7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F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F4" w:rsidRPr="00B20FD7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F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961F4" w:rsidRPr="00B20FD7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61F4" w:rsidRPr="00B20FD7" w:rsidTr="00B20FD7">
        <w:tblPrEx>
          <w:tblLook w:val="01E0" w:firstRow="1" w:lastRow="1" w:firstColumn="1" w:lastColumn="1" w:noHBand="0" w:noVBand="0"/>
        </w:tblPrEx>
        <w:trPr>
          <w:gridAfter w:val="1"/>
          <w:wAfter w:w="25" w:type="dxa"/>
          <w:trHeight w:val="276"/>
        </w:trPr>
        <w:tc>
          <w:tcPr>
            <w:tcW w:w="1560" w:type="dxa"/>
            <w:vMerge/>
            <w:shd w:val="clear" w:color="auto" w:fill="auto"/>
          </w:tcPr>
          <w:p w:rsidR="00A961F4" w:rsidRPr="00B20FD7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A961F4" w:rsidRPr="00B20FD7" w:rsidRDefault="00A961F4" w:rsidP="00BB7417">
            <w:pPr>
              <w:pStyle w:val="1"/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F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3 </w:t>
            </w:r>
            <w:proofErr w:type="spellStart"/>
            <w:r w:rsidRPr="00B20FD7">
              <w:rPr>
                <w:rFonts w:ascii="Times New Roman" w:eastAsia="Times New Roman" w:hAnsi="Times New Roman" w:cs="Times New Roman"/>
                <w:sz w:val="28"/>
                <w:szCs w:val="28"/>
              </w:rPr>
              <w:t>Шлюбно</w:t>
            </w:r>
            <w:proofErr w:type="spellEnd"/>
            <w:r w:rsidRPr="00B20F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сімейні відносини.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1F4" w:rsidRPr="00B20FD7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961F4" w:rsidRPr="00B20FD7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FD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F4" w:rsidRPr="00B20FD7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F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961F4" w:rsidRPr="00B20FD7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61F4" w:rsidRPr="00B20FD7" w:rsidTr="00B20FD7">
        <w:tblPrEx>
          <w:tblLook w:val="01E0" w:firstRow="1" w:lastRow="1" w:firstColumn="1" w:lastColumn="1" w:noHBand="0" w:noVBand="0"/>
        </w:tblPrEx>
        <w:trPr>
          <w:gridAfter w:val="1"/>
          <w:wAfter w:w="25" w:type="dxa"/>
          <w:trHeight w:val="276"/>
        </w:trPr>
        <w:tc>
          <w:tcPr>
            <w:tcW w:w="1560" w:type="dxa"/>
            <w:vMerge w:val="restart"/>
            <w:shd w:val="clear" w:color="auto" w:fill="auto"/>
          </w:tcPr>
          <w:p w:rsidR="00A961F4" w:rsidRPr="00B20FD7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FD7">
              <w:rPr>
                <w:rFonts w:ascii="Times New Roman" w:eastAsia="Times New Roman" w:hAnsi="Times New Roman" w:cs="Times New Roman"/>
                <w:sz w:val="28"/>
                <w:szCs w:val="28"/>
              </w:rPr>
              <w:t>Речове право</w:t>
            </w:r>
          </w:p>
          <w:p w:rsidR="00A961F4" w:rsidRPr="00B20FD7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A961F4" w:rsidRPr="00B20FD7" w:rsidRDefault="00A961F4" w:rsidP="00BB7417">
            <w:pPr>
              <w:pStyle w:val="1"/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FD7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1 Речове право Риму та його правова характеристика. Речі як об’єкти права.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961F4" w:rsidRPr="00B20FD7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FD7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61F4" w:rsidRPr="00B20FD7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FD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F4" w:rsidRPr="00B20FD7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F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A961F4" w:rsidRPr="00B20FD7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FD7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961F4" w:rsidRPr="00B20FD7" w:rsidTr="00B20FD7">
        <w:tblPrEx>
          <w:tblLook w:val="01E0" w:firstRow="1" w:lastRow="1" w:firstColumn="1" w:lastColumn="1" w:noHBand="0" w:noVBand="0"/>
        </w:tblPrEx>
        <w:trPr>
          <w:gridAfter w:val="1"/>
          <w:wAfter w:w="25" w:type="dxa"/>
          <w:trHeight w:val="276"/>
        </w:trPr>
        <w:tc>
          <w:tcPr>
            <w:tcW w:w="1560" w:type="dxa"/>
            <w:vMerge/>
            <w:shd w:val="clear" w:color="auto" w:fill="auto"/>
          </w:tcPr>
          <w:p w:rsidR="00A961F4" w:rsidRPr="00B20FD7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A961F4" w:rsidRPr="00B20FD7" w:rsidRDefault="00A961F4" w:rsidP="00BB7417">
            <w:pPr>
              <w:pStyle w:val="1"/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FD7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2 Право володіння. Право власності.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1F4" w:rsidRPr="00B20FD7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961F4" w:rsidRPr="00B20FD7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FD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F4" w:rsidRPr="00B20FD7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F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961F4" w:rsidRPr="00B20FD7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61F4" w:rsidRPr="00B20FD7" w:rsidTr="00B20FD7">
        <w:tblPrEx>
          <w:tblLook w:val="01E0" w:firstRow="1" w:lastRow="1" w:firstColumn="1" w:lastColumn="1" w:noHBand="0" w:noVBand="0"/>
        </w:tblPrEx>
        <w:trPr>
          <w:gridAfter w:val="1"/>
          <w:wAfter w:w="25" w:type="dxa"/>
          <w:trHeight w:val="276"/>
        </w:trPr>
        <w:tc>
          <w:tcPr>
            <w:tcW w:w="1560" w:type="dxa"/>
            <w:vMerge/>
            <w:shd w:val="clear" w:color="auto" w:fill="auto"/>
          </w:tcPr>
          <w:p w:rsidR="00A961F4" w:rsidRPr="00B20FD7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A961F4" w:rsidRPr="00B20FD7" w:rsidRDefault="00A961F4" w:rsidP="00BB7417">
            <w:pPr>
              <w:pStyle w:val="1"/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FD7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3 Права на чужі речі.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1F4" w:rsidRPr="00B20FD7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961F4" w:rsidRPr="00B20FD7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FD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F4" w:rsidRPr="00B20FD7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F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961F4" w:rsidRPr="00B20FD7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61F4" w:rsidRPr="00B20FD7" w:rsidTr="00B20FD7">
        <w:tblPrEx>
          <w:tblLook w:val="01E0" w:firstRow="1" w:lastRow="1" w:firstColumn="1" w:lastColumn="1" w:noHBand="0" w:noVBand="0"/>
        </w:tblPrEx>
        <w:trPr>
          <w:trHeight w:val="460"/>
        </w:trPr>
        <w:tc>
          <w:tcPr>
            <w:tcW w:w="9381" w:type="dxa"/>
            <w:gridSpan w:val="10"/>
            <w:shd w:val="clear" w:color="auto" w:fill="auto"/>
            <w:vAlign w:val="center"/>
          </w:tcPr>
          <w:p w:rsidR="00A961F4" w:rsidRPr="00B20FD7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FD7">
              <w:rPr>
                <w:rFonts w:ascii="Times New Roman" w:eastAsia="Times New Roman" w:hAnsi="Times New Roman" w:cs="Times New Roman"/>
                <w:sz w:val="28"/>
                <w:szCs w:val="28"/>
              </w:rPr>
              <w:t>Модуль ІІ. Особлива частина. Зобов'язальні правовідносини в римському приватному праві</w:t>
            </w:r>
          </w:p>
        </w:tc>
      </w:tr>
      <w:tr w:rsidR="00A961F4" w:rsidRPr="00B20FD7" w:rsidTr="00B20FD7">
        <w:tblPrEx>
          <w:tblLook w:val="01E0" w:firstRow="1" w:lastRow="1" w:firstColumn="1" w:lastColumn="1" w:noHBand="0" w:noVBand="0"/>
        </w:tblPrEx>
        <w:trPr>
          <w:gridAfter w:val="1"/>
          <w:wAfter w:w="25" w:type="dxa"/>
          <w:trHeight w:val="460"/>
        </w:trPr>
        <w:tc>
          <w:tcPr>
            <w:tcW w:w="1560" w:type="dxa"/>
            <w:vMerge w:val="restart"/>
            <w:shd w:val="clear" w:color="auto" w:fill="auto"/>
          </w:tcPr>
          <w:p w:rsidR="00A961F4" w:rsidRPr="00B20FD7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FD7">
              <w:rPr>
                <w:rFonts w:ascii="Times New Roman" w:eastAsia="Times New Roman" w:hAnsi="Times New Roman" w:cs="Times New Roman"/>
                <w:sz w:val="28"/>
                <w:szCs w:val="28"/>
              </w:rPr>
              <w:t>Зобов’язальне право</w:t>
            </w:r>
          </w:p>
          <w:p w:rsidR="00A961F4" w:rsidRPr="00B20FD7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961F4" w:rsidRPr="00B20FD7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A961F4" w:rsidRPr="00B20FD7" w:rsidRDefault="00A961F4" w:rsidP="00BB7417">
            <w:pPr>
              <w:pStyle w:val="1"/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F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1 Загальне вчення про зобов’язання 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A961F4" w:rsidRPr="00B20FD7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FD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61F4" w:rsidRPr="00B20FD7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FD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F4" w:rsidRPr="00B20FD7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F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vAlign w:val="center"/>
          </w:tcPr>
          <w:p w:rsidR="00A961F4" w:rsidRPr="00B20FD7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FD7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961F4" w:rsidRPr="00B20FD7" w:rsidTr="00B20FD7">
        <w:tblPrEx>
          <w:tblLook w:val="01E0" w:firstRow="1" w:lastRow="1" w:firstColumn="1" w:lastColumn="1" w:noHBand="0" w:noVBand="0"/>
        </w:tblPrEx>
        <w:trPr>
          <w:gridAfter w:val="1"/>
          <w:wAfter w:w="25" w:type="dxa"/>
          <w:trHeight w:val="538"/>
        </w:trPr>
        <w:tc>
          <w:tcPr>
            <w:tcW w:w="1560" w:type="dxa"/>
            <w:vMerge/>
            <w:shd w:val="clear" w:color="auto" w:fill="auto"/>
          </w:tcPr>
          <w:p w:rsidR="00A961F4" w:rsidRPr="00B20FD7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A961F4" w:rsidRPr="00B20FD7" w:rsidRDefault="00A961F4" w:rsidP="00BB7417">
            <w:pPr>
              <w:pStyle w:val="1"/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FD7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2 Договірне право. Правова характеристика окремих видів договорів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1F4" w:rsidRPr="00B20FD7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961F4" w:rsidRPr="00B20FD7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FD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F4" w:rsidRPr="00B20FD7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F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961F4" w:rsidRPr="00B20FD7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61F4" w:rsidRPr="00B20FD7" w:rsidTr="00B20FD7">
        <w:tblPrEx>
          <w:tblLook w:val="01E0" w:firstRow="1" w:lastRow="1" w:firstColumn="1" w:lastColumn="1" w:noHBand="0" w:noVBand="0"/>
        </w:tblPrEx>
        <w:trPr>
          <w:gridAfter w:val="1"/>
          <w:wAfter w:w="25" w:type="dxa"/>
          <w:trHeight w:val="460"/>
        </w:trPr>
        <w:tc>
          <w:tcPr>
            <w:tcW w:w="1560" w:type="dxa"/>
            <w:vMerge/>
            <w:shd w:val="clear" w:color="auto" w:fill="auto"/>
          </w:tcPr>
          <w:p w:rsidR="00A961F4" w:rsidRPr="00B20FD7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A961F4" w:rsidRPr="00B20FD7" w:rsidRDefault="00A961F4" w:rsidP="00BB7417">
            <w:pPr>
              <w:pStyle w:val="1"/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F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Тема 3 Позадоговірні зобов’язання. </w:t>
            </w:r>
            <w:proofErr w:type="spellStart"/>
            <w:r w:rsidRPr="00B20FD7">
              <w:rPr>
                <w:rFonts w:ascii="Times New Roman" w:eastAsia="Times New Roman" w:hAnsi="Times New Roman" w:cs="Times New Roman"/>
                <w:sz w:val="28"/>
                <w:szCs w:val="28"/>
              </w:rPr>
              <w:t>Квазіконтракти</w:t>
            </w:r>
            <w:proofErr w:type="spellEnd"/>
            <w:r w:rsidRPr="00B20F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Делікти. </w:t>
            </w:r>
            <w:proofErr w:type="spellStart"/>
            <w:r w:rsidRPr="00B20FD7">
              <w:rPr>
                <w:rFonts w:ascii="Times New Roman" w:eastAsia="Times New Roman" w:hAnsi="Times New Roman" w:cs="Times New Roman"/>
                <w:sz w:val="28"/>
                <w:szCs w:val="28"/>
              </w:rPr>
              <w:t>Квазіделікти</w:t>
            </w:r>
            <w:proofErr w:type="spellEnd"/>
            <w:r w:rsidRPr="00B20FD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A961F4" w:rsidRPr="00B20FD7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961F4" w:rsidRPr="00B20FD7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FD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F4" w:rsidRPr="00B20FD7" w:rsidRDefault="00B20FD7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:rsidR="00A961F4" w:rsidRPr="00B20FD7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961F4" w:rsidRPr="00B20FD7" w:rsidTr="00B20FD7">
        <w:tblPrEx>
          <w:tblLook w:val="01E0" w:firstRow="1" w:lastRow="1" w:firstColumn="1" w:lastColumn="1" w:noHBand="0" w:noVBand="0"/>
        </w:tblPrEx>
        <w:trPr>
          <w:gridAfter w:val="1"/>
          <w:wAfter w:w="25" w:type="dxa"/>
        </w:trPr>
        <w:tc>
          <w:tcPr>
            <w:tcW w:w="1560" w:type="dxa"/>
            <w:shd w:val="clear" w:color="auto" w:fill="auto"/>
          </w:tcPr>
          <w:p w:rsidR="00A961F4" w:rsidRPr="00B20FD7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FD7">
              <w:rPr>
                <w:rFonts w:ascii="Times New Roman" w:eastAsia="Times New Roman" w:hAnsi="Times New Roman" w:cs="Times New Roman"/>
                <w:sz w:val="28"/>
                <w:szCs w:val="28"/>
              </w:rPr>
              <w:t>Спадкове право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961F4" w:rsidRPr="00B20FD7" w:rsidRDefault="00A961F4" w:rsidP="00BB7417">
            <w:pPr>
              <w:pStyle w:val="1"/>
              <w:spacing w:line="240" w:lineRule="auto"/>
              <w:ind w:left="16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FD7">
              <w:rPr>
                <w:rFonts w:ascii="Times New Roman" w:eastAsia="Times New Roman" w:hAnsi="Times New Roman" w:cs="Times New Roman"/>
                <w:sz w:val="28"/>
                <w:szCs w:val="28"/>
              </w:rPr>
              <w:t>Спадкове право в Римській державі.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61F4" w:rsidRPr="00B20FD7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FD7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961F4" w:rsidRPr="00B20FD7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FD7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61F4" w:rsidRPr="00B20FD7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FD7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A961F4" w:rsidRPr="00B20FD7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0FD7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961F4" w:rsidRPr="00B20FD7" w:rsidTr="00B20FD7">
        <w:tblPrEx>
          <w:tblLook w:val="01E0" w:firstRow="1" w:lastRow="1" w:firstColumn="1" w:lastColumn="1" w:noHBand="0" w:noVBand="0"/>
        </w:tblPrEx>
        <w:trPr>
          <w:gridAfter w:val="1"/>
          <w:wAfter w:w="25" w:type="dxa"/>
        </w:trPr>
        <w:tc>
          <w:tcPr>
            <w:tcW w:w="1560" w:type="dxa"/>
            <w:shd w:val="clear" w:color="auto" w:fill="auto"/>
          </w:tcPr>
          <w:p w:rsidR="00A961F4" w:rsidRPr="00B20FD7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A961F4" w:rsidRPr="00B20FD7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A961F4" w:rsidRPr="00B20FD7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20F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992" w:type="dxa"/>
            <w:shd w:val="clear" w:color="auto" w:fill="auto"/>
          </w:tcPr>
          <w:p w:rsidR="00A961F4" w:rsidRPr="00B20FD7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20F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A961F4" w:rsidRPr="00B20FD7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20F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961F4" w:rsidRPr="00B20FD7" w:rsidRDefault="00A961F4" w:rsidP="00BB7417">
            <w:pPr>
              <w:pStyle w:val="1"/>
              <w:spacing w:line="240" w:lineRule="auto"/>
              <w:ind w:left="16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20F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2F3CE8" w:rsidRPr="00B20FD7" w:rsidTr="00B20FD7">
        <w:trPr>
          <w:gridAfter w:val="2"/>
          <w:wAfter w:w="36" w:type="dxa"/>
          <w:trHeight w:val="454"/>
        </w:trPr>
        <w:tc>
          <w:tcPr>
            <w:tcW w:w="9345" w:type="dxa"/>
            <w:gridSpan w:val="8"/>
            <w:shd w:val="clear" w:color="auto" w:fill="auto"/>
            <w:vAlign w:val="center"/>
          </w:tcPr>
          <w:p w:rsidR="002F3CE8" w:rsidRPr="00B20FD7" w:rsidRDefault="00B35A0A" w:rsidP="00B20FD7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20FD7">
              <w:rPr>
                <w:b/>
                <w:sz w:val="28"/>
                <w:szCs w:val="28"/>
                <w:lang w:val="uk-UA"/>
              </w:rPr>
              <w:t>5</w:t>
            </w:r>
            <w:r w:rsidR="002F3CE8" w:rsidRPr="00B20FD7">
              <w:rPr>
                <w:b/>
                <w:sz w:val="28"/>
                <w:szCs w:val="28"/>
                <w:lang w:val="uk-UA"/>
              </w:rPr>
              <w:t xml:space="preserve">. </w:t>
            </w:r>
            <w:r w:rsidR="00531A95" w:rsidRPr="00B20FD7">
              <w:rPr>
                <w:b/>
                <w:sz w:val="28"/>
                <w:szCs w:val="28"/>
                <w:lang w:val="uk-UA"/>
              </w:rPr>
              <w:t>Політика навчальної дисципліни</w:t>
            </w:r>
          </w:p>
        </w:tc>
      </w:tr>
      <w:tr w:rsidR="002F3CE8" w:rsidRPr="00B20FD7" w:rsidTr="00B20FD7">
        <w:trPr>
          <w:gridAfter w:val="2"/>
          <w:wAfter w:w="36" w:type="dxa"/>
        </w:trPr>
        <w:tc>
          <w:tcPr>
            <w:tcW w:w="1898" w:type="dxa"/>
            <w:gridSpan w:val="2"/>
            <w:shd w:val="clear" w:color="auto" w:fill="auto"/>
          </w:tcPr>
          <w:p w:rsidR="002F3CE8" w:rsidRPr="00B20FD7" w:rsidRDefault="00500C5D" w:rsidP="004656F2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  <w:r w:rsidRPr="00B20FD7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Загальна система оцінювання курсу</w:t>
            </w:r>
          </w:p>
        </w:tc>
        <w:tc>
          <w:tcPr>
            <w:tcW w:w="7447" w:type="dxa"/>
            <w:gridSpan w:val="6"/>
            <w:shd w:val="clear" w:color="auto" w:fill="auto"/>
          </w:tcPr>
          <w:p w:rsidR="0058009B" w:rsidRPr="00B20FD7" w:rsidRDefault="0058009B" w:rsidP="0058009B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uk-UA" w:eastAsia="en-US"/>
              </w:rPr>
            </w:pPr>
            <w:r w:rsidRPr="00B20FD7">
              <w:rPr>
                <w:rFonts w:eastAsia="TimesNewRomanPSMT"/>
                <w:sz w:val="28"/>
                <w:szCs w:val="28"/>
                <w:lang w:val="uk-UA" w:eastAsia="en-US"/>
              </w:rPr>
              <w:t>Підсумкова оцінка за дисципліну складається з таких компонентів:</w:t>
            </w:r>
          </w:p>
          <w:p w:rsidR="0058009B" w:rsidRPr="00B20FD7" w:rsidRDefault="0058009B" w:rsidP="0058009B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uk-UA" w:eastAsia="en-US"/>
              </w:rPr>
            </w:pPr>
            <w:r w:rsidRPr="00B20FD7">
              <w:rPr>
                <w:rFonts w:eastAsia="TimesNewRomanPSMT"/>
                <w:sz w:val="28"/>
                <w:szCs w:val="28"/>
                <w:lang w:val="uk-UA" w:eastAsia="en-US"/>
              </w:rPr>
              <w:t>• Активність під час семінарських занять до 35 %</w:t>
            </w:r>
          </w:p>
          <w:p w:rsidR="0058009B" w:rsidRPr="00B20FD7" w:rsidRDefault="0058009B" w:rsidP="0058009B">
            <w:pPr>
              <w:autoSpaceDE w:val="0"/>
              <w:autoSpaceDN w:val="0"/>
              <w:adjustRightInd w:val="0"/>
              <w:rPr>
                <w:rFonts w:eastAsia="TimesNewRomanPSMT"/>
                <w:sz w:val="28"/>
                <w:szCs w:val="28"/>
                <w:lang w:val="uk-UA" w:eastAsia="en-US"/>
              </w:rPr>
            </w:pPr>
            <w:r w:rsidRPr="00B20FD7">
              <w:rPr>
                <w:rFonts w:eastAsia="TimesNewRomanPSMT"/>
                <w:sz w:val="28"/>
                <w:szCs w:val="28"/>
                <w:lang w:val="uk-UA" w:eastAsia="en-US"/>
              </w:rPr>
              <w:t>• Індивідуальне завдання до 25 %</w:t>
            </w:r>
          </w:p>
          <w:p w:rsidR="0058009B" w:rsidRPr="00B20FD7" w:rsidRDefault="0058009B" w:rsidP="0058009B">
            <w:pPr>
              <w:jc w:val="both"/>
              <w:rPr>
                <w:rFonts w:eastAsia="TimesNewRomanPSMT"/>
                <w:sz w:val="28"/>
                <w:szCs w:val="28"/>
                <w:lang w:val="uk-UA" w:eastAsia="en-US"/>
              </w:rPr>
            </w:pPr>
            <w:r w:rsidRPr="00B20FD7">
              <w:rPr>
                <w:rFonts w:eastAsia="TimesNewRomanPSMT"/>
                <w:sz w:val="28"/>
                <w:szCs w:val="28"/>
                <w:lang w:val="uk-UA" w:eastAsia="en-US"/>
              </w:rPr>
              <w:t>• Екзамен = 40 %</w:t>
            </w:r>
          </w:p>
          <w:p w:rsidR="002F3CE8" w:rsidRPr="00B20FD7" w:rsidRDefault="00500C5D" w:rsidP="0058009B">
            <w:pPr>
              <w:jc w:val="both"/>
              <w:rPr>
                <w:rFonts w:eastAsia="TimesNewRomanPSMT"/>
                <w:sz w:val="28"/>
                <w:szCs w:val="28"/>
                <w:lang w:val="uk-UA" w:eastAsia="en-US"/>
              </w:rPr>
            </w:pPr>
            <w:r w:rsidRPr="00B20FD7">
              <w:rPr>
                <w:rFonts w:eastAsia="TimesNewRomanPSMT"/>
                <w:sz w:val="28"/>
                <w:szCs w:val="28"/>
                <w:lang w:val="uk-UA" w:eastAsia="en-US"/>
              </w:rPr>
              <w:t>Екзамен усний згідно з переліком питань.</w:t>
            </w:r>
            <w:r w:rsidR="00E43A46" w:rsidRPr="00B20FD7">
              <w:rPr>
                <w:rFonts w:eastAsia="TimesNewRomanPSMT"/>
                <w:sz w:val="28"/>
                <w:szCs w:val="28"/>
                <w:lang w:val="uk-UA" w:eastAsia="en-US"/>
              </w:rPr>
              <w:t xml:space="preserve"> Екзамен проводиться шляхом усного індивідуального опитування. Кожен білет містить три питання з різних тем в межах навчального матеріалу дисципліни. Викладач може ставити</w:t>
            </w:r>
            <w:r w:rsidR="0058009B" w:rsidRPr="00B20FD7">
              <w:rPr>
                <w:rFonts w:eastAsia="TimesNewRomanPSMT"/>
                <w:sz w:val="28"/>
                <w:szCs w:val="28"/>
                <w:lang w:val="uk-UA" w:eastAsia="en-US"/>
              </w:rPr>
              <w:t xml:space="preserve"> </w:t>
            </w:r>
            <w:r w:rsidR="00E43A46" w:rsidRPr="00B20FD7">
              <w:rPr>
                <w:rFonts w:eastAsia="TimesNewRomanPSMT"/>
                <w:sz w:val="28"/>
                <w:szCs w:val="28"/>
                <w:lang w:val="uk-UA" w:eastAsia="en-US"/>
              </w:rPr>
              <w:t xml:space="preserve">додаткові питання, пов’язані з тими, що містяться у білеті, якщо студент допускає неточності чи не розкриває зміст питання у достатній мірі. Може також проводитись у формі </w:t>
            </w:r>
            <w:proofErr w:type="spellStart"/>
            <w:r w:rsidR="00E43A46" w:rsidRPr="00B20FD7">
              <w:rPr>
                <w:rFonts w:eastAsia="TimesNewRomanPSMT"/>
                <w:sz w:val="28"/>
                <w:szCs w:val="28"/>
                <w:lang w:val="uk-UA" w:eastAsia="en-US"/>
              </w:rPr>
              <w:t>компьютерного</w:t>
            </w:r>
            <w:proofErr w:type="spellEnd"/>
            <w:r w:rsidR="00E43A46" w:rsidRPr="00B20FD7">
              <w:rPr>
                <w:rFonts w:eastAsia="TimesNewRomanPSMT"/>
                <w:sz w:val="28"/>
                <w:szCs w:val="28"/>
                <w:lang w:val="uk-UA" w:eastAsia="en-US"/>
              </w:rPr>
              <w:t xml:space="preserve"> тестування.</w:t>
            </w:r>
          </w:p>
          <w:p w:rsidR="00BE4792" w:rsidRPr="00B20FD7" w:rsidRDefault="00BE4792" w:rsidP="00531A9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uk-UA" w:eastAsia="en-US"/>
              </w:rPr>
            </w:pPr>
            <w:r w:rsidRPr="00B20FD7">
              <w:rPr>
                <w:rFonts w:eastAsia="TimesNewRomanPSMT"/>
                <w:sz w:val="28"/>
                <w:szCs w:val="28"/>
                <w:lang w:val="uk-UA" w:eastAsia="en-US"/>
              </w:rPr>
              <w:t>З метою виявлення рівня опрацювання теми всіма студентами групи на початку заняття може проводитися фронтальне бліц-опитування, тестування чи письмова робота, що передбачає відповідь на проблемні питання, вирішення казусів, пов’язаних з темою семінарського заняття. Основною формою проведення семі</w:t>
            </w:r>
          </w:p>
          <w:p w:rsidR="00BE4792" w:rsidRPr="00B20FD7" w:rsidRDefault="00BE4792" w:rsidP="00531A95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8"/>
                <w:szCs w:val="28"/>
                <w:lang w:val="uk-UA" w:eastAsia="en-US"/>
              </w:rPr>
            </w:pPr>
            <w:proofErr w:type="spellStart"/>
            <w:r w:rsidRPr="00B20FD7">
              <w:rPr>
                <w:rFonts w:eastAsia="TimesNewRomanPSMT"/>
                <w:sz w:val="28"/>
                <w:szCs w:val="28"/>
                <w:lang w:val="uk-UA" w:eastAsia="en-US"/>
              </w:rPr>
              <w:t>нарського</w:t>
            </w:r>
            <w:proofErr w:type="spellEnd"/>
            <w:r w:rsidRPr="00B20FD7">
              <w:rPr>
                <w:rFonts w:eastAsia="TimesNewRomanPSMT"/>
                <w:sz w:val="28"/>
                <w:szCs w:val="28"/>
                <w:lang w:val="uk-UA" w:eastAsia="en-US"/>
              </w:rPr>
              <w:t xml:space="preserve"> заняття є дискусія з </w:t>
            </w:r>
            <w:proofErr w:type="spellStart"/>
            <w:r w:rsidRPr="00B20FD7">
              <w:rPr>
                <w:rFonts w:eastAsia="TimesNewRomanPSMT"/>
                <w:sz w:val="28"/>
                <w:szCs w:val="28"/>
                <w:lang w:val="uk-UA" w:eastAsia="en-US"/>
              </w:rPr>
              <w:t>питань,визначених</w:t>
            </w:r>
            <w:proofErr w:type="spellEnd"/>
            <w:r w:rsidRPr="00B20FD7">
              <w:rPr>
                <w:rFonts w:eastAsia="TimesNewRomanPSMT"/>
                <w:sz w:val="28"/>
                <w:szCs w:val="28"/>
                <w:lang w:val="uk-UA" w:eastAsia="en-US"/>
              </w:rPr>
              <w:t xml:space="preserve"> планом семінарського заняття. Під час дискусії студенти повинні продемонструвати належний рівень засвоєння лекційного матеріалу, сумлінне опрацювання нормативних джерел, основної та додаткової літератури, проявити креативність, здатність до аналітичного та критичного мислення.</w:t>
            </w:r>
          </w:p>
        </w:tc>
      </w:tr>
      <w:tr w:rsidR="005B6078" w:rsidRPr="00B20FD7" w:rsidTr="00B20FD7">
        <w:trPr>
          <w:gridAfter w:val="2"/>
          <w:wAfter w:w="36" w:type="dxa"/>
        </w:trPr>
        <w:tc>
          <w:tcPr>
            <w:tcW w:w="1898" w:type="dxa"/>
            <w:gridSpan w:val="2"/>
            <w:shd w:val="clear" w:color="auto" w:fill="auto"/>
          </w:tcPr>
          <w:p w:rsidR="005B6078" w:rsidRPr="00B20FD7" w:rsidRDefault="00C42487" w:rsidP="00C42487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  <w:r w:rsidRPr="00B20FD7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lastRenderedPageBreak/>
              <w:t xml:space="preserve">Форми оцінювання </w:t>
            </w:r>
          </w:p>
        </w:tc>
        <w:tc>
          <w:tcPr>
            <w:tcW w:w="7447" w:type="dxa"/>
            <w:gridSpan w:val="6"/>
            <w:shd w:val="clear" w:color="auto" w:fill="auto"/>
          </w:tcPr>
          <w:p w:rsidR="005B6078" w:rsidRPr="00B20FD7" w:rsidRDefault="00493358" w:rsidP="00B20FD7">
            <w:pPr>
              <w:jc w:val="both"/>
              <w:rPr>
                <w:rFonts w:eastAsia="TimesNewRomanPSMT"/>
                <w:sz w:val="28"/>
                <w:szCs w:val="28"/>
                <w:lang w:val="uk-UA" w:eastAsia="en-US"/>
              </w:rPr>
            </w:pPr>
            <w:r w:rsidRPr="00B20FD7">
              <w:rPr>
                <w:rFonts w:eastAsia="TimesNewRomanPSMT"/>
                <w:sz w:val="28"/>
                <w:szCs w:val="28"/>
                <w:lang w:val="uk-UA" w:eastAsia="en-US"/>
              </w:rPr>
              <w:t>Екзамен, вибіркове експрес</w:t>
            </w:r>
            <w:r w:rsidR="00B20FD7" w:rsidRPr="00B20FD7">
              <w:rPr>
                <w:rFonts w:eastAsia="TimesNewRomanPSMT"/>
                <w:sz w:val="28"/>
                <w:szCs w:val="28"/>
                <w:lang w:val="uk-UA" w:eastAsia="en-US"/>
              </w:rPr>
              <w:t>-</w:t>
            </w:r>
            <w:r w:rsidRPr="00B20FD7">
              <w:rPr>
                <w:rFonts w:eastAsia="TimesNewRomanPSMT"/>
                <w:sz w:val="28"/>
                <w:szCs w:val="28"/>
                <w:lang w:val="uk-UA" w:eastAsia="en-US"/>
              </w:rPr>
              <w:t>опитування під час лекцій, письмове опитування (контрольні роботи у вигляді тестових завдань з множинним вибором та розв’язання казусів), індивідуальне навчально-дослідне завдання, усне опитування, можливий підсумковий контроль у формі комп’ютерного тестування.</w:t>
            </w:r>
          </w:p>
        </w:tc>
      </w:tr>
      <w:tr w:rsidR="00C42487" w:rsidRPr="00B20FD7" w:rsidTr="00B20FD7">
        <w:trPr>
          <w:gridAfter w:val="2"/>
          <w:wAfter w:w="36" w:type="dxa"/>
        </w:trPr>
        <w:tc>
          <w:tcPr>
            <w:tcW w:w="1898" w:type="dxa"/>
            <w:gridSpan w:val="2"/>
            <w:shd w:val="clear" w:color="auto" w:fill="auto"/>
          </w:tcPr>
          <w:p w:rsidR="00C42487" w:rsidRPr="00B20FD7" w:rsidRDefault="00C42487" w:rsidP="004656F2">
            <w:pPr>
              <w:pStyle w:val="1"/>
              <w:widowControl w:val="0"/>
              <w:spacing w:line="24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  <w:r w:rsidRPr="00B20FD7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Умови допуску до підсумкового контролю</w:t>
            </w:r>
          </w:p>
        </w:tc>
        <w:tc>
          <w:tcPr>
            <w:tcW w:w="7447" w:type="dxa"/>
            <w:gridSpan w:val="6"/>
            <w:shd w:val="clear" w:color="auto" w:fill="auto"/>
          </w:tcPr>
          <w:p w:rsidR="00C42487" w:rsidRPr="00B20FD7" w:rsidRDefault="00C42487" w:rsidP="004656F2">
            <w:pPr>
              <w:pStyle w:val="1"/>
              <w:widowControl w:val="0"/>
              <w:spacing w:line="240" w:lineRule="auto"/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</w:pPr>
            <w:r w:rsidRPr="00B20FD7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 xml:space="preserve">Обов’язкова присутність на лекційних заняттях. У разі пропуску 1/3 лекційних занять студент не допускається до підсумкового контролю. Активність впродовж семестру, відвідування і відпрацювання усіх семінарських занять </w:t>
            </w:r>
            <w:proofErr w:type="spellStart"/>
            <w:r w:rsidRPr="00B20FD7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обовя’язково</w:t>
            </w:r>
            <w:proofErr w:type="spellEnd"/>
            <w:r w:rsidRPr="00B20FD7">
              <w:rPr>
                <w:rFonts w:ascii="Times New Roman" w:eastAsia="TimesNewRomanPSMT" w:hAnsi="Times New Roman" w:cs="Times New Roman"/>
                <w:sz w:val="28"/>
                <w:szCs w:val="28"/>
                <w:lang w:eastAsia="en-US"/>
              </w:rPr>
              <w:t>. Відпрацювання семінарських занять (можливе шляхом виконання тесту) здійснюється протягом двох тижнів з моменту пропуску заняття або отримання незадовільної оцінки на занятті.</w:t>
            </w:r>
          </w:p>
        </w:tc>
      </w:tr>
      <w:tr w:rsidR="002F3CE8" w:rsidRPr="00B20FD7" w:rsidTr="00B20FD7">
        <w:trPr>
          <w:gridAfter w:val="2"/>
          <w:wAfter w:w="36" w:type="dxa"/>
        </w:trPr>
        <w:tc>
          <w:tcPr>
            <w:tcW w:w="9345" w:type="dxa"/>
            <w:gridSpan w:val="8"/>
            <w:shd w:val="clear" w:color="auto" w:fill="auto"/>
          </w:tcPr>
          <w:p w:rsidR="002F3CE8" w:rsidRPr="00B20FD7" w:rsidRDefault="002F3CE8" w:rsidP="004656F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F3CE8" w:rsidRPr="00B20FD7" w:rsidTr="00B20FD7">
        <w:trPr>
          <w:gridAfter w:val="2"/>
          <w:wAfter w:w="36" w:type="dxa"/>
        </w:trPr>
        <w:tc>
          <w:tcPr>
            <w:tcW w:w="9345" w:type="dxa"/>
            <w:gridSpan w:val="8"/>
            <w:shd w:val="clear" w:color="auto" w:fill="auto"/>
          </w:tcPr>
          <w:p w:rsidR="003A2FF0" w:rsidRPr="00B20FD7" w:rsidRDefault="0023484F" w:rsidP="004656F2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r w:rsidRPr="00B20FD7">
              <w:rPr>
                <w:rFonts w:eastAsia="TimesNewRomanPSMT"/>
                <w:sz w:val="28"/>
                <w:szCs w:val="28"/>
                <w:u w:val="single"/>
                <w:lang w:val="uk-UA" w:eastAsia="en-US"/>
              </w:rPr>
              <w:t>Семінарські заняття:</w:t>
            </w:r>
            <w:r w:rsidRPr="00B20FD7">
              <w:rPr>
                <w:rFonts w:eastAsia="Calibri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 </w:t>
            </w:r>
          </w:p>
          <w:p w:rsidR="0023484F" w:rsidRPr="00B20FD7" w:rsidRDefault="0023484F" w:rsidP="004656F2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sz w:val="28"/>
                <w:szCs w:val="28"/>
                <w:lang w:val="uk-UA" w:eastAsia="en-US"/>
              </w:rPr>
            </w:pPr>
            <w:r w:rsidRPr="00B20FD7">
              <w:rPr>
                <w:rFonts w:eastAsia="TimesNewRomanPSMT"/>
                <w:sz w:val="28"/>
                <w:szCs w:val="28"/>
                <w:lang w:val="uk-UA" w:eastAsia="en-US"/>
              </w:rPr>
              <w:t>Попередня підготовка до розгляду питань, активна участь під час обговорення.</w:t>
            </w:r>
          </w:p>
          <w:p w:rsidR="002F3CE8" w:rsidRPr="00B20FD7" w:rsidRDefault="002F3CE8" w:rsidP="004656F2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sz w:val="28"/>
                <w:szCs w:val="28"/>
                <w:u w:val="single"/>
                <w:lang w:val="uk-UA" w:eastAsia="en-US"/>
              </w:rPr>
            </w:pPr>
            <w:r w:rsidRPr="00B20FD7">
              <w:rPr>
                <w:rFonts w:eastAsia="TimesNewRomanPSMT"/>
                <w:sz w:val="28"/>
                <w:szCs w:val="28"/>
                <w:u w:val="single"/>
                <w:lang w:val="uk-UA" w:eastAsia="en-US"/>
              </w:rPr>
              <w:t>Письмові роботи:</w:t>
            </w:r>
          </w:p>
          <w:p w:rsidR="003A2FF0" w:rsidRPr="00B20FD7" w:rsidRDefault="002F3CE8" w:rsidP="004656F2">
            <w:pPr>
              <w:ind w:firstLine="310"/>
              <w:jc w:val="both"/>
              <w:rPr>
                <w:rFonts w:eastAsia="TimesNewRomanPSMT"/>
                <w:sz w:val="28"/>
                <w:szCs w:val="28"/>
                <w:lang w:val="uk-UA" w:eastAsia="en-US"/>
              </w:rPr>
            </w:pPr>
            <w:r w:rsidRPr="00B20FD7">
              <w:rPr>
                <w:rFonts w:eastAsia="TimesNewRomanPSMT"/>
                <w:sz w:val="28"/>
                <w:szCs w:val="28"/>
                <w:lang w:val="uk-UA" w:eastAsia="en-US"/>
              </w:rPr>
              <w:t>Планується виконання студентами пись</w:t>
            </w:r>
            <w:r w:rsidR="00CD1339" w:rsidRPr="00B20FD7">
              <w:rPr>
                <w:rFonts w:eastAsia="TimesNewRomanPSMT"/>
                <w:sz w:val="28"/>
                <w:szCs w:val="28"/>
                <w:lang w:val="uk-UA" w:eastAsia="en-US"/>
              </w:rPr>
              <w:t>мових тестових завдань, експрес-опитувань за темами навчальної дисципліни</w:t>
            </w:r>
            <w:r w:rsidR="003A2FF0" w:rsidRPr="00B20FD7">
              <w:rPr>
                <w:rFonts w:eastAsia="TimesNewRomanPSMT"/>
                <w:sz w:val="28"/>
                <w:szCs w:val="28"/>
                <w:lang w:val="uk-UA" w:eastAsia="en-US"/>
              </w:rPr>
              <w:t xml:space="preserve">. </w:t>
            </w:r>
            <w:r w:rsidR="003A2FF0" w:rsidRPr="00B20FD7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Обсяг письмових робіт – до 500 слів. Письмові роботи повинні подаватись вчасно. Оцінюється якість та оригінальність наведених аргументів.</w:t>
            </w:r>
          </w:p>
          <w:p w:rsidR="002F3CE8" w:rsidRPr="00B20FD7" w:rsidRDefault="002F3CE8" w:rsidP="004656F2">
            <w:pPr>
              <w:ind w:firstLine="310"/>
              <w:jc w:val="both"/>
              <w:rPr>
                <w:sz w:val="28"/>
                <w:szCs w:val="28"/>
                <w:lang w:val="uk-UA"/>
              </w:rPr>
            </w:pPr>
            <w:r w:rsidRPr="00B20FD7">
              <w:rPr>
                <w:rFonts w:eastAsia="TimesNewRomanPSMT"/>
                <w:sz w:val="28"/>
                <w:szCs w:val="28"/>
                <w:u w:val="single"/>
                <w:lang w:val="uk-UA" w:eastAsia="en-US"/>
              </w:rPr>
              <w:t>Академічна доброчесність:</w:t>
            </w:r>
          </w:p>
          <w:p w:rsidR="00D816B9" w:rsidRPr="00B20FD7" w:rsidRDefault="00D816B9" w:rsidP="004656F2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</w:pPr>
            <w:r w:rsidRPr="00B20FD7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B20FD7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недоброчесності</w:t>
            </w:r>
            <w:proofErr w:type="spellEnd"/>
            <w:r w:rsidRPr="00B20FD7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. Виявлення ознак академічної </w:t>
            </w:r>
            <w:proofErr w:type="spellStart"/>
            <w:r w:rsidRPr="00B20FD7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недоброчесності</w:t>
            </w:r>
            <w:proofErr w:type="spellEnd"/>
            <w:r w:rsidRPr="00B20FD7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в письмовій роботі студента є підставою для її </w:t>
            </w:r>
            <w:proofErr w:type="spellStart"/>
            <w:r w:rsidRPr="00B20FD7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>незарахуванння</w:t>
            </w:r>
            <w:proofErr w:type="spellEnd"/>
            <w:r w:rsidRPr="00B20FD7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викладачем, незалежно від масштабів плагіату чи обману. </w:t>
            </w:r>
          </w:p>
          <w:p w:rsidR="003A2FF0" w:rsidRPr="00B20FD7" w:rsidRDefault="002F3CE8" w:rsidP="004656F2">
            <w:pPr>
              <w:ind w:firstLine="310"/>
              <w:jc w:val="both"/>
              <w:rPr>
                <w:rFonts w:eastAsia="TimesNewRomanPSMT"/>
                <w:sz w:val="28"/>
                <w:szCs w:val="28"/>
                <w:u w:val="single"/>
                <w:lang w:val="uk-UA" w:eastAsia="en-US"/>
              </w:rPr>
            </w:pPr>
            <w:r w:rsidRPr="00B20FD7">
              <w:rPr>
                <w:rFonts w:eastAsia="TimesNewRomanPSMT"/>
                <w:sz w:val="28"/>
                <w:szCs w:val="28"/>
                <w:u w:val="single"/>
                <w:lang w:val="uk-UA" w:eastAsia="en-US"/>
              </w:rPr>
              <w:t>Відвідування занять</w:t>
            </w:r>
            <w:r w:rsidR="003A2FF0" w:rsidRPr="00B20FD7">
              <w:rPr>
                <w:rFonts w:eastAsia="TimesNewRomanPSMT"/>
                <w:sz w:val="28"/>
                <w:szCs w:val="28"/>
                <w:u w:val="single"/>
                <w:lang w:val="uk-UA" w:eastAsia="en-US"/>
              </w:rPr>
              <w:t xml:space="preserve">: </w:t>
            </w:r>
          </w:p>
          <w:p w:rsidR="00AF4701" w:rsidRPr="00B20FD7" w:rsidRDefault="00CD1339" w:rsidP="00493358">
            <w:pPr>
              <w:ind w:firstLine="310"/>
              <w:jc w:val="both"/>
              <w:rPr>
                <w:rFonts w:eastAsia="TimesNewRomanPSMT"/>
                <w:sz w:val="28"/>
                <w:szCs w:val="28"/>
                <w:u w:val="single"/>
                <w:lang w:val="uk-UA" w:eastAsia="en-US"/>
              </w:rPr>
            </w:pPr>
            <w:r w:rsidRPr="00B20FD7">
              <w:rPr>
                <w:rFonts w:eastAsia="TimesNewRomanPSMT"/>
                <w:sz w:val="28"/>
                <w:szCs w:val="28"/>
                <w:lang w:val="uk-UA" w:eastAsia="en-US"/>
              </w:rPr>
              <w:t xml:space="preserve">Відвідання занять є важливою складовою навчання. Очікується, що всі студенти відвідають лекції і практичні зайняття </w:t>
            </w:r>
            <w:r w:rsidRPr="00B20FD7">
              <w:rPr>
                <w:sz w:val="28"/>
                <w:szCs w:val="28"/>
                <w:lang w:val="uk-UA"/>
              </w:rPr>
              <w:t>навчальної дисципліни</w:t>
            </w:r>
            <w:r w:rsidRPr="00B20FD7">
              <w:rPr>
                <w:rFonts w:eastAsia="TimesNewRomanPSMT"/>
                <w:sz w:val="28"/>
                <w:szCs w:val="28"/>
                <w:lang w:val="uk-UA" w:eastAsia="en-US"/>
              </w:rPr>
              <w:t>.</w:t>
            </w:r>
            <w:r w:rsidR="00D816B9" w:rsidRPr="00B20FD7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Студенти мають інформувати викладача про неможливість відвідати заняття та його причину. Пропуск студентом заняття не звільняє його від обов’язку виконати письмове завдання, чи виконати інші види завдань передбачені</w:t>
            </w:r>
            <w:r w:rsidR="005B6078" w:rsidRPr="00B20FD7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 програмою</w:t>
            </w:r>
            <w:r w:rsidR="00D816B9" w:rsidRPr="00B20FD7">
              <w:rPr>
                <w:rFonts w:eastAsia="Calibri"/>
                <w:color w:val="000000"/>
                <w:sz w:val="28"/>
                <w:szCs w:val="28"/>
                <w:lang w:val="uk-UA" w:eastAsia="uk-UA"/>
              </w:rPr>
              <w:t xml:space="preserve">. Студент, який пропустив заняття з поважних причин (хвороба, відрядження тощо) може відпрацювати пропущене заняття. Термін відпрацювання – протягом двох тижнів з моменту пропуску заняття. Студенти, які пропустили 1/3 аудиторних занять і не відпрацювали їх до кінця семестру, не допускають до складання іспиту. </w:t>
            </w:r>
          </w:p>
        </w:tc>
      </w:tr>
    </w:tbl>
    <w:p w:rsidR="00B20FD7" w:rsidRPr="00B20FD7" w:rsidRDefault="00B20FD7">
      <w:pPr>
        <w:rPr>
          <w:lang w:val="uk-UA"/>
        </w:rPr>
      </w:pPr>
    </w:p>
    <w:p w:rsidR="00B20FD7" w:rsidRPr="00B20FD7" w:rsidRDefault="00B20FD7">
      <w:pPr>
        <w:rPr>
          <w:lang w:val="uk-UA"/>
        </w:rPr>
      </w:pPr>
      <w:r w:rsidRPr="00B20FD7">
        <w:rPr>
          <w:lang w:val="uk-UA"/>
        </w:rPr>
        <w:br w:type="page"/>
      </w:r>
    </w:p>
    <w:p w:rsidR="00B20FD7" w:rsidRPr="00B20FD7" w:rsidRDefault="00B20FD7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45"/>
      </w:tblGrid>
      <w:tr w:rsidR="002F3CE8" w:rsidRPr="00B20FD7">
        <w:tc>
          <w:tcPr>
            <w:tcW w:w="9345" w:type="dxa"/>
            <w:shd w:val="clear" w:color="auto" w:fill="auto"/>
          </w:tcPr>
          <w:p w:rsidR="00531A95" w:rsidRPr="00B20FD7" w:rsidRDefault="00531A95" w:rsidP="00531A95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0FD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2F3CE8" w:rsidRPr="00B20F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Pr="00B20FD7">
              <w:rPr>
                <w:rFonts w:ascii="Times New Roman" w:hAnsi="Times New Roman" w:cs="Times New Roman"/>
                <w:b/>
                <w:sz w:val="28"/>
                <w:szCs w:val="28"/>
              </w:rPr>
              <w:t>Критерії оцінювання</w:t>
            </w:r>
          </w:p>
          <w:p w:rsidR="00531A95" w:rsidRPr="00B20FD7" w:rsidRDefault="00531A95" w:rsidP="00531A95">
            <w:pPr>
              <w:tabs>
                <w:tab w:val="left" w:pos="6000"/>
              </w:tabs>
              <w:ind w:right="170" w:firstLine="360"/>
              <w:jc w:val="both"/>
              <w:rPr>
                <w:sz w:val="28"/>
                <w:szCs w:val="28"/>
                <w:lang w:val="uk-UA"/>
              </w:rPr>
            </w:pPr>
            <w:r w:rsidRPr="00B20FD7">
              <w:rPr>
                <w:sz w:val="28"/>
                <w:szCs w:val="28"/>
                <w:lang w:val="uk-UA"/>
              </w:rPr>
              <w:t>Оцінювання здійснюється за стандартними критеріями, прийнятими в Академії, відповідно до Положення про організацію освітнього процесу в Академії адвокатури України.</w:t>
            </w:r>
          </w:p>
          <w:p w:rsidR="002F3CE8" w:rsidRPr="00B20FD7" w:rsidRDefault="002F3CE8" w:rsidP="004656F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2F3CE8" w:rsidRPr="00B20FD7">
        <w:tc>
          <w:tcPr>
            <w:tcW w:w="9345" w:type="dxa"/>
            <w:shd w:val="clear" w:color="auto" w:fill="auto"/>
          </w:tcPr>
          <w:p w:rsidR="00531A95" w:rsidRPr="00B20FD7" w:rsidRDefault="00531A95" w:rsidP="00531A95">
            <w:pPr>
              <w:tabs>
                <w:tab w:val="left" w:pos="6000"/>
              </w:tabs>
              <w:ind w:right="170" w:firstLine="360"/>
              <w:jc w:val="both"/>
              <w:rPr>
                <w:sz w:val="28"/>
                <w:szCs w:val="28"/>
                <w:lang w:val="uk-UA"/>
              </w:rPr>
            </w:pPr>
            <w:r w:rsidRPr="00B20FD7">
              <w:rPr>
                <w:sz w:val="28"/>
                <w:szCs w:val="28"/>
                <w:lang w:val="uk-UA"/>
              </w:rPr>
              <w:t>Перелік рекомендованої літератури та посилання на інформаційні ресурси містяться у робочій програмі відповідної навчальної дисципліни.</w:t>
            </w:r>
          </w:p>
          <w:p w:rsidR="002F3CE8" w:rsidRPr="00B20FD7" w:rsidRDefault="002F3CE8" w:rsidP="00531A95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6470" w:rsidRPr="00B20FD7" w:rsidRDefault="00EC6470" w:rsidP="00AF4701">
      <w:pPr>
        <w:jc w:val="both"/>
        <w:rPr>
          <w:sz w:val="28"/>
          <w:szCs w:val="28"/>
          <w:lang w:val="uk-UA"/>
        </w:rPr>
      </w:pPr>
    </w:p>
    <w:sectPr w:rsidR="00EC6470" w:rsidRPr="00B20FD7" w:rsidSect="00E756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2A5" w:rsidRDefault="009C02A5" w:rsidP="00857983">
      <w:r>
        <w:separator/>
      </w:r>
    </w:p>
  </w:endnote>
  <w:endnote w:type="continuationSeparator" w:id="0">
    <w:p w:rsidR="009C02A5" w:rsidRDefault="009C02A5" w:rsidP="00857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983" w:rsidRDefault="00857983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983" w:rsidRDefault="00857983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983" w:rsidRDefault="0085798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2A5" w:rsidRDefault="009C02A5" w:rsidP="00857983">
      <w:r>
        <w:separator/>
      </w:r>
    </w:p>
  </w:footnote>
  <w:footnote w:type="continuationSeparator" w:id="0">
    <w:p w:rsidR="009C02A5" w:rsidRDefault="009C02A5" w:rsidP="00857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983" w:rsidRDefault="00857983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983" w:rsidRDefault="00857983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983" w:rsidRDefault="00857983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C71014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CE95CC1"/>
    <w:multiLevelType w:val="hybridMultilevel"/>
    <w:tmpl w:val="3B245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B3E35"/>
    <w:multiLevelType w:val="hybridMultilevel"/>
    <w:tmpl w:val="53320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04147"/>
    <w:multiLevelType w:val="hybridMultilevel"/>
    <w:tmpl w:val="13DAEA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25831"/>
    <w:multiLevelType w:val="hybridMultilevel"/>
    <w:tmpl w:val="23865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36510"/>
    <w:multiLevelType w:val="hybridMultilevel"/>
    <w:tmpl w:val="E1C0004C"/>
    <w:lvl w:ilvl="0" w:tplc="FFE0C2F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B7113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66661CC9"/>
    <w:multiLevelType w:val="hybridMultilevel"/>
    <w:tmpl w:val="4A52A63E"/>
    <w:lvl w:ilvl="0" w:tplc="FFFFFFFF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E8"/>
    <w:rsid w:val="00004949"/>
    <w:rsid w:val="000C19C3"/>
    <w:rsid w:val="00124860"/>
    <w:rsid w:val="001C183A"/>
    <w:rsid w:val="001E68BE"/>
    <w:rsid w:val="0023484F"/>
    <w:rsid w:val="00242AB9"/>
    <w:rsid w:val="00265BE7"/>
    <w:rsid w:val="002A68A0"/>
    <w:rsid w:val="002C5DD4"/>
    <w:rsid w:val="002D58CA"/>
    <w:rsid w:val="002F3CE8"/>
    <w:rsid w:val="003050AB"/>
    <w:rsid w:val="00312C90"/>
    <w:rsid w:val="00376470"/>
    <w:rsid w:val="003A2FF0"/>
    <w:rsid w:val="003B6C3A"/>
    <w:rsid w:val="003F5E99"/>
    <w:rsid w:val="003F7AA4"/>
    <w:rsid w:val="004656F2"/>
    <w:rsid w:val="00493358"/>
    <w:rsid w:val="00500C5D"/>
    <w:rsid w:val="00531A95"/>
    <w:rsid w:val="005550DC"/>
    <w:rsid w:val="0058009B"/>
    <w:rsid w:val="00594D0D"/>
    <w:rsid w:val="005B6078"/>
    <w:rsid w:val="00705845"/>
    <w:rsid w:val="00803153"/>
    <w:rsid w:val="008059DF"/>
    <w:rsid w:val="00806A81"/>
    <w:rsid w:val="00833823"/>
    <w:rsid w:val="00857983"/>
    <w:rsid w:val="00882427"/>
    <w:rsid w:val="008C67BD"/>
    <w:rsid w:val="008C7BDF"/>
    <w:rsid w:val="0090046F"/>
    <w:rsid w:val="00972B57"/>
    <w:rsid w:val="009C02A5"/>
    <w:rsid w:val="00A0711D"/>
    <w:rsid w:val="00A07CD2"/>
    <w:rsid w:val="00A54FB3"/>
    <w:rsid w:val="00A91D72"/>
    <w:rsid w:val="00A961F4"/>
    <w:rsid w:val="00AC69E9"/>
    <w:rsid w:val="00AD46F1"/>
    <w:rsid w:val="00AF4701"/>
    <w:rsid w:val="00B20FD7"/>
    <w:rsid w:val="00B35A0A"/>
    <w:rsid w:val="00B55E81"/>
    <w:rsid w:val="00B86638"/>
    <w:rsid w:val="00BB7417"/>
    <w:rsid w:val="00BE4792"/>
    <w:rsid w:val="00C0202A"/>
    <w:rsid w:val="00C42487"/>
    <w:rsid w:val="00C43E43"/>
    <w:rsid w:val="00C74161"/>
    <w:rsid w:val="00CD1339"/>
    <w:rsid w:val="00D244A1"/>
    <w:rsid w:val="00D816B9"/>
    <w:rsid w:val="00E1310B"/>
    <w:rsid w:val="00E43A46"/>
    <w:rsid w:val="00E756F0"/>
    <w:rsid w:val="00EC6470"/>
    <w:rsid w:val="00F232F6"/>
    <w:rsid w:val="00FF5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4EDA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CE8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F3CE8"/>
    <w:pPr>
      <w:spacing w:line="276" w:lineRule="auto"/>
    </w:pPr>
    <w:rPr>
      <w:rFonts w:ascii="Arial" w:eastAsia="Arial" w:hAnsi="Arial" w:cs="Arial"/>
      <w:sz w:val="22"/>
      <w:szCs w:val="22"/>
    </w:rPr>
  </w:style>
  <w:style w:type="character" w:styleId="a3">
    <w:name w:val="Hyperlink"/>
    <w:unhideWhenUsed/>
    <w:rsid w:val="002F3CE8"/>
    <w:rPr>
      <w:color w:val="0000FF"/>
      <w:u w:val="single"/>
    </w:rPr>
  </w:style>
  <w:style w:type="paragraph" w:styleId="a4">
    <w:name w:val="No Spacing"/>
    <w:uiPriority w:val="1"/>
    <w:qFormat/>
    <w:rsid w:val="002F3CE8"/>
    <w:pPr>
      <w:ind w:firstLine="902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a5">
    <w:name w:val="Body Text"/>
    <w:basedOn w:val="a"/>
    <w:link w:val="a6"/>
    <w:rsid w:val="00CD1339"/>
    <w:pPr>
      <w:spacing w:after="120"/>
    </w:pPr>
  </w:style>
  <w:style w:type="character" w:customStyle="1" w:styleId="a6">
    <w:name w:val="Основной текст Знак"/>
    <w:link w:val="a5"/>
    <w:rsid w:val="00CD133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3B6C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2A68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8">
    <w:name w:val="Body Text Indent"/>
    <w:basedOn w:val="a"/>
    <w:link w:val="a9"/>
    <w:uiPriority w:val="99"/>
    <w:unhideWhenUsed/>
    <w:rsid w:val="00A961F4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9">
    <w:name w:val="Основной текст с отступом Знак"/>
    <w:link w:val="a8"/>
    <w:uiPriority w:val="99"/>
    <w:rsid w:val="00A961F4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A961F4"/>
    <w:rPr>
      <w:rFonts w:ascii="Times New Roman" w:eastAsia="Times New Roman" w:hAnsi="Times New Roman"/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857983"/>
    <w:pPr>
      <w:tabs>
        <w:tab w:val="center" w:pos="4819"/>
        <w:tab w:val="right" w:pos="9639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57983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857983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57983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.Milkova@aau.edu.ua%2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6613</Words>
  <Characters>3770</Characters>
  <Application>Microsoft Office Word</Application>
  <DocSecurity>0</DocSecurity>
  <Lines>31</Lines>
  <Paragraphs>20</Paragraphs>
  <ScaleCrop>false</ScaleCrop>
  <Company/>
  <LinksUpToDate>false</LinksUpToDate>
  <CharactersWithSpaces>10363</CharactersWithSpaces>
  <SharedDoc>false</SharedDoc>
  <HLinks>
    <vt:vector size="6" baseType="variant">
      <vt:variant>
        <vt:i4>7798869</vt:i4>
      </vt:variant>
      <vt:variant>
        <vt:i4>0</vt:i4>
      </vt:variant>
      <vt:variant>
        <vt:i4>0</vt:i4>
      </vt:variant>
      <vt:variant>
        <vt:i4>5</vt:i4>
      </vt:variant>
      <vt:variant>
        <vt:lpwstr>mailto:K.Milkova@aau.edu.ua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2020-02-12T15:37:00Z</dcterms:created>
  <dcterms:modified xsi:type="dcterms:W3CDTF">2020-02-12T15:37:00Z</dcterms:modified>
</cp:coreProperties>
</file>