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D1098D" w:rsidRDefault="00F232F6" w:rsidP="002F3CE8">
      <w:pPr>
        <w:jc w:val="center"/>
        <w:rPr>
          <w:b/>
          <w:sz w:val="28"/>
          <w:szCs w:val="28"/>
          <w:lang w:val="uk-UA"/>
        </w:rPr>
      </w:pPr>
      <w:r w:rsidRPr="00D1098D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D1098D" w:rsidRDefault="002F3CE8" w:rsidP="002F3CE8">
      <w:pPr>
        <w:jc w:val="center"/>
        <w:rPr>
          <w:sz w:val="28"/>
          <w:szCs w:val="28"/>
          <w:lang w:val="uk-UA"/>
        </w:rPr>
      </w:pPr>
      <w:r w:rsidRPr="00D1098D">
        <w:rPr>
          <w:sz w:val="28"/>
          <w:szCs w:val="28"/>
          <w:lang w:val="uk-UA"/>
        </w:rPr>
        <w:t xml:space="preserve">Кафедра </w:t>
      </w:r>
      <w:r w:rsidR="00F01EE7" w:rsidRPr="00D1098D">
        <w:rPr>
          <w:sz w:val="28"/>
          <w:szCs w:val="28"/>
          <w:lang w:val="uk-UA"/>
        </w:rPr>
        <w:t>кримінального та адміністративного права</w:t>
      </w:r>
    </w:p>
    <w:p w:rsidR="00D1098D" w:rsidRPr="00D1098D" w:rsidRDefault="00D1098D" w:rsidP="002F3CE8">
      <w:pPr>
        <w:jc w:val="center"/>
        <w:rPr>
          <w:b/>
          <w:sz w:val="28"/>
          <w:szCs w:val="28"/>
          <w:lang w:val="uk-UA"/>
        </w:rPr>
      </w:pPr>
    </w:p>
    <w:p w:rsidR="002F3CE8" w:rsidRPr="00D1098D" w:rsidRDefault="00707BBB" w:rsidP="002F3CE8">
      <w:pPr>
        <w:jc w:val="center"/>
        <w:rPr>
          <w:b/>
          <w:sz w:val="28"/>
          <w:szCs w:val="28"/>
          <w:lang w:val="uk-UA"/>
        </w:rPr>
      </w:pPr>
      <w:r w:rsidRPr="00D1098D">
        <w:rPr>
          <w:b/>
          <w:sz w:val="28"/>
          <w:szCs w:val="28"/>
          <w:lang w:val="uk-UA"/>
        </w:rPr>
        <w:t>ПОРІВНЯЛЬНЕ КРИМІНАЛЬНЕ ПРАВО</w:t>
      </w:r>
    </w:p>
    <w:p w:rsidR="00D1098D" w:rsidRPr="00D1098D" w:rsidRDefault="00D1098D" w:rsidP="002F3CE8">
      <w:pPr>
        <w:jc w:val="center"/>
        <w:rPr>
          <w:sz w:val="28"/>
          <w:szCs w:val="28"/>
          <w:lang w:val="uk-UA"/>
        </w:rPr>
      </w:pPr>
      <w:r w:rsidRPr="00D1098D">
        <w:rPr>
          <w:sz w:val="28"/>
          <w:szCs w:val="28"/>
          <w:lang w:val="uk-UA"/>
        </w:rPr>
        <w:t>(</w:t>
      </w:r>
      <w:proofErr w:type="spellStart"/>
      <w:r w:rsidRPr="00D1098D">
        <w:rPr>
          <w:sz w:val="28"/>
          <w:szCs w:val="28"/>
          <w:lang w:val="uk-UA"/>
        </w:rPr>
        <w:t>силабус</w:t>
      </w:r>
      <w:proofErr w:type="spellEnd"/>
      <w:r w:rsidRPr="00D1098D">
        <w:rPr>
          <w:sz w:val="28"/>
          <w:szCs w:val="28"/>
          <w:lang w:val="uk-UA"/>
        </w:rPr>
        <w:t xml:space="preserve"> навчальної дисципліни)</w:t>
      </w:r>
    </w:p>
    <w:p w:rsidR="00D1098D" w:rsidRPr="00D1098D" w:rsidRDefault="00D1098D" w:rsidP="002F3CE8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2557"/>
        <w:gridCol w:w="992"/>
        <w:gridCol w:w="992"/>
        <w:gridCol w:w="1276"/>
        <w:gridCol w:w="981"/>
        <w:gridCol w:w="11"/>
        <w:gridCol w:w="25"/>
      </w:tblGrid>
      <w:tr w:rsidR="002F3CE8" w:rsidRPr="00D1098D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D1098D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1098D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1098D" w:rsidRDefault="00717F40" w:rsidP="00F232F6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Порівняльне кримінальне право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1098D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1098D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Соловйова Аліна Миколаївна</w:t>
            </w:r>
            <w:r w:rsidR="002F3CE8" w:rsidRPr="00D1098D">
              <w:rPr>
                <w:sz w:val="28"/>
                <w:szCs w:val="28"/>
                <w:lang w:val="uk-UA"/>
              </w:rPr>
              <w:t xml:space="preserve">, </w:t>
            </w:r>
            <w:r w:rsidRPr="00D1098D">
              <w:rPr>
                <w:sz w:val="28"/>
                <w:szCs w:val="28"/>
                <w:lang w:val="uk-UA"/>
              </w:rPr>
              <w:t>професор</w:t>
            </w:r>
            <w:r w:rsidR="00A0711D" w:rsidRPr="00D1098D">
              <w:rPr>
                <w:sz w:val="28"/>
                <w:szCs w:val="28"/>
                <w:lang w:val="uk-UA"/>
              </w:rPr>
              <w:t xml:space="preserve"> </w:t>
            </w:r>
            <w:r w:rsidR="002F3CE8" w:rsidRPr="00D1098D">
              <w:rPr>
                <w:sz w:val="28"/>
                <w:szCs w:val="28"/>
                <w:lang w:val="uk-UA"/>
              </w:rPr>
              <w:t xml:space="preserve">кафедри </w:t>
            </w:r>
            <w:r w:rsidRPr="00D1098D">
              <w:rPr>
                <w:sz w:val="28"/>
                <w:szCs w:val="28"/>
                <w:lang w:val="uk-UA"/>
              </w:rPr>
              <w:t xml:space="preserve">прав людини, міжнародного та європейського права, </w:t>
            </w:r>
            <w:proofErr w:type="spellStart"/>
            <w:r w:rsidRPr="00D1098D">
              <w:rPr>
                <w:sz w:val="28"/>
                <w:szCs w:val="28"/>
                <w:lang w:val="uk-UA"/>
              </w:rPr>
              <w:t>д.ю.н</w:t>
            </w:r>
            <w:proofErr w:type="spellEnd"/>
            <w:r w:rsidRPr="00D1098D">
              <w:rPr>
                <w:sz w:val="28"/>
                <w:szCs w:val="28"/>
                <w:lang w:val="uk-UA"/>
              </w:rPr>
              <w:t>., доцент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1098D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1098D" w:rsidRDefault="002F3CE8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(</w:t>
            </w:r>
            <w:r w:rsidR="00A0711D" w:rsidRPr="00D1098D">
              <w:rPr>
                <w:sz w:val="28"/>
                <w:szCs w:val="28"/>
                <w:lang w:val="uk-UA"/>
              </w:rPr>
              <w:t>044</w:t>
            </w:r>
            <w:r w:rsidRPr="00D1098D">
              <w:rPr>
                <w:sz w:val="28"/>
                <w:szCs w:val="28"/>
                <w:lang w:val="uk-UA"/>
              </w:rPr>
              <w:t xml:space="preserve">) </w:t>
            </w:r>
            <w:r w:rsidR="00A0711D" w:rsidRPr="00D1098D">
              <w:rPr>
                <w:sz w:val="28"/>
                <w:szCs w:val="28"/>
                <w:lang w:val="uk-UA"/>
              </w:rPr>
              <w:t>246 59 66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1098D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D1098D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D1098D">
              <w:rPr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1098D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Altoryk10@ukr.net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1098D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1098D" w:rsidRDefault="002F3CE8" w:rsidP="00E756F0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3 кредити ЄКТС, 90 год.</w:t>
            </w:r>
          </w:p>
        </w:tc>
      </w:tr>
      <w:tr w:rsidR="00AD46F1" w:rsidRPr="00D1098D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AD46F1" w:rsidRPr="00D1098D" w:rsidRDefault="00AD46F1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 xml:space="preserve">Мова викладання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AD46F1" w:rsidRPr="00D1098D" w:rsidRDefault="007D31DD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У</w:t>
            </w:r>
            <w:r w:rsidR="00AD46F1" w:rsidRPr="00D1098D">
              <w:rPr>
                <w:sz w:val="28"/>
                <w:szCs w:val="28"/>
                <w:lang w:val="uk-UA"/>
              </w:rPr>
              <w:t>країнська</w:t>
            </w:r>
            <w:r w:rsidRPr="00D1098D">
              <w:rPr>
                <w:sz w:val="28"/>
                <w:szCs w:val="28"/>
                <w:lang w:val="uk-UA"/>
              </w:rPr>
              <w:t>, англійська</w:t>
            </w:r>
            <w:r w:rsidR="00AD46F1" w:rsidRPr="00D1098D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1098D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1098D" w:rsidRDefault="002F3CE8" w:rsidP="00D10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D1098D">
              <w:rPr>
                <w:sz w:val="28"/>
                <w:szCs w:val="28"/>
                <w:lang w:val="uk-UA"/>
              </w:rPr>
              <w:t>г</w:t>
            </w:r>
            <w:r w:rsidRPr="00D1098D">
              <w:rPr>
                <w:sz w:val="28"/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D1098D">
              <w:rPr>
                <w:sz w:val="28"/>
                <w:szCs w:val="28"/>
                <w:lang w:val="uk-UA"/>
              </w:rPr>
              <w:t xml:space="preserve">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D1098D">
              <w:rPr>
                <w:sz w:val="28"/>
                <w:szCs w:val="28"/>
                <w:lang w:val="uk-UA"/>
              </w:rPr>
              <w:t>силабусі</w:t>
            </w:r>
            <w:proofErr w:type="spellEnd"/>
            <w:r w:rsidR="008C7BDF" w:rsidRPr="00D1098D">
              <w:rPr>
                <w:sz w:val="28"/>
                <w:szCs w:val="28"/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Відпрацювання проводяться </w:t>
            </w:r>
            <w:r w:rsidR="00A6639B" w:rsidRPr="00D1098D">
              <w:rPr>
                <w:sz w:val="28"/>
                <w:szCs w:val="28"/>
                <w:lang w:val="uk-UA"/>
              </w:rPr>
              <w:t>що</w:t>
            </w:r>
            <w:r w:rsidR="008C7BDF" w:rsidRPr="00D1098D">
              <w:rPr>
                <w:sz w:val="28"/>
                <w:szCs w:val="28"/>
                <w:lang w:val="uk-UA"/>
              </w:rPr>
              <w:t>четверга.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D1098D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2. Анотація до навчальної дисципліни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FD051E" w:rsidRPr="00D1098D" w:rsidRDefault="002F3CE8" w:rsidP="00952A20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u w:val="single"/>
                <w:lang w:val="uk-UA"/>
              </w:rPr>
              <w:t>Предметом</w:t>
            </w:r>
            <w:r w:rsidRPr="00D1098D">
              <w:rPr>
                <w:sz w:val="28"/>
                <w:szCs w:val="28"/>
                <w:lang w:val="uk-UA"/>
              </w:rPr>
              <w:t xml:space="preserve"> </w:t>
            </w:r>
            <w:r w:rsidR="00A07CD2" w:rsidRPr="00D1098D">
              <w:rPr>
                <w:sz w:val="28"/>
                <w:szCs w:val="28"/>
                <w:lang w:val="uk-UA"/>
              </w:rPr>
              <w:t xml:space="preserve">курсу </w:t>
            </w:r>
            <w:r w:rsidR="00FD051E" w:rsidRPr="00D1098D">
              <w:rPr>
                <w:color w:val="000000"/>
                <w:spacing w:val="-5"/>
                <w:sz w:val="28"/>
                <w:szCs w:val="28"/>
                <w:lang w:val="uk-UA"/>
              </w:rPr>
              <w:t>«Порівняльне кримінальне право</w:t>
            </w:r>
            <w:r w:rsidR="00FD051E" w:rsidRPr="00D1098D">
              <w:rPr>
                <w:sz w:val="28"/>
                <w:szCs w:val="28"/>
                <w:lang w:val="uk-UA"/>
              </w:rPr>
              <w:t>»</w:t>
            </w:r>
            <w:r w:rsidR="00952A20" w:rsidRPr="00D1098D">
              <w:rPr>
                <w:sz w:val="28"/>
                <w:szCs w:val="28"/>
                <w:lang w:val="uk-UA"/>
              </w:rPr>
              <w:t xml:space="preserve"> є кримінальне право окремих зарубіжних країн. Основна увага приділяється</w:t>
            </w:r>
            <w:r w:rsidR="00FD051E" w:rsidRPr="00D1098D">
              <w:rPr>
                <w:sz w:val="28"/>
                <w:szCs w:val="28"/>
                <w:lang w:val="uk-UA"/>
              </w:rPr>
              <w:t xml:space="preserve"> є вивченн</w:t>
            </w:r>
            <w:r w:rsidR="00952A20" w:rsidRPr="00D1098D">
              <w:rPr>
                <w:sz w:val="28"/>
                <w:szCs w:val="28"/>
                <w:lang w:val="uk-UA"/>
              </w:rPr>
              <w:t>ю</w:t>
            </w:r>
            <w:r w:rsidR="00FD051E" w:rsidRPr="00D1098D">
              <w:rPr>
                <w:sz w:val="28"/>
                <w:szCs w:val="28"/>
                <w:lang w:val="uk-UA"/>
              </w:rPr>
              <w:t xml:space="preserve"> основних кримінально-правових інститутів зарубіжних країн, принципів їх побудови, а також практики застосування законодавчих приписів та положень інших джерел кримінального права.  </w:t>
            </w:r>
          </w:p>
          <w:p w:rsidR="002F3CE8" w:rsidRPr="00D1098D" w:rsidRDefault="002F3CE8" w:rsidP="00E756F0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Програма навчальної дисципліни складається з </w:t>
            </w:r>
            <w:r w:rsidR="006A1DBE" w:rsidRPr="00D1098D">
              <w:rPr>
                <w:sz w:val="28"/>
                <w:szCs w:val="28"/>
                <w:lang w:val="uk-UA"/>
              </w:rPr>
              <w:t>двох</w:t>
            </w:r>
            <w:r w:rsidRPr="00D1098D">
              <w:rPr>
                <w:sz w:val="28"/>
                <w:szCs w:val="28"/>
                <w:lang w:val="uk-UA"/>
              </w:rPr>
              <w:t xml:space="preserve"> </w:t>
            </w:r>
            <w:r w:rsidRPr="00D1098D">
              <w:rPr>
                <w:sz w:val="28"/>
                <w:szCs w:val="28"/>
                <w:u w:val="single"/>
                <w:lang w:val="uk-UA"/>
              </w:rPr>
              <w:t>змістових модулів</w:t>
            </w:r>
            <w:r w:rsidRPr="00D1098D">
              <w:rPr>
                <w:sz w:val="28"/>
                <w:szCs w:val="28"/>
                <w:lang w:val="uk-UA"/>
              </w:rPr>
              <w:t>:</w:t>
            </w:r>
          </w:p>
          <w:p w:rsidR="002F3CE8" w:rsidRPr="00D1098D" w:rsidRDefault="002F3CE8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1. </w:t>
            </w:r>
            <w:r w:rsidR="006A1DBE" w:rsidRPr="00D1098D">
              <w:rPr>
                <w:sz w:val="28"/>
                <w:szCs w:val="28"/>
                <w:lang w:val="uk-UA"/>
              </w:rPr>
              <w:t>Особливості Загальної частини кримінального права зарубіжних країн</w:t>
            </w:r>
            <w:r w:rsidRPr="00D1098D">
              <w:rPr>
                <w:sz w:val="28"/>
                <w:szCs w:val="28"/>
                <w:lang w:val="uk-UA"/>
              </w:rPr>
              <w:t>.</w:t>
            </w:r>
          </w:p>
          <w:p w:rsidR="006A1DBE" w:rsidRPr="00D1098D" w:rsidRDefault="002F3CE8" w:rsidP="006A1DBE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2. </w:t>
            </w:r>
            <w:r w:rsidR="006A1DBE" w:rsidRPr="00D1098D">
              <w:rPr>
                <w:sz w:val="28"/>
                <w:szCs w:val="28"/>
                <w:lang w:val="uk-UA"/>
              </w:rPr>
              <w:t>Особлива частина кримінального права зарубіжних країн.</w:t>
            </w:r>
          </w:p>
          <w:p w:rsidR="001F4FCD" w:rsidRPr="00D1098D" w:rsidRDefault="00F01EE7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Навчальна дисципліна «Порівняльне кримінальне право» заклада</w:t>
            </w:r>
            <w:r w:rsidR="00000617" w:rsidRPr="00D1098D">
              <w:rPr>
                <w:sz w:val="28"/>
                <w:szCs w:val="28"/>
                <w:lang w:val="uk-UA"/>
              </w:rPr>
              <w:t>є</w:t>
            </w:r>
            <w:r w:rsidRPr="00D1098D">
              <w:rPr>
                <w:sz w:val="28"/>
                <w:szCs w:val="28"/>
                <w:lang w:val="uk-UA"/>
              </w:rPr>
              <w:t xml:space="preserve"> основн</w:t>
            </w:r>
            <w:r w:rsidR="00000617" w:rsidRPr="00D1098D">
              <w:rPr>
                <w:sz w:val="28"/>
                <w:szCs w:val="28"/>
                <w:lang w:val="uk-UA"/>
              </w:rPr>
              <w:t>і</w:t>
            </w:r>
            <w:r w:rsidRPr="00D1098D">
              <w:rPr>
                <w:sz w:val="28"/>
                <w:szCs w:val="28"/>
                <w:lang w:val="uk-UA"/>
              </w:rPr>
              <w:t xml:space="preserve"> знання щодо  кримінально-правових інститутів зарубіжних країн (Англії, Росії, США, Франції, ФРН та ін.), принципів їх побудови, а також практики застосування законодавчих приписів та положень інших джерел кримінального права. Навчальна задача: виявлення загальних та спільних рис у кримінально- правовому регулюванні суспільних відносин в Україні та окремих зарубіжних країнах, усвідомлення унікальності кримінально-правових систем цих країн, зумовлених особливостями історичного розвитку, та водночас їх єдності, що ґрунтується на сучасних процесах </w:t>
            </w:r>
            <w:r w:rsidRPr="00D1098D">
              <w:rPr>
                <w:sz w:val="28"/>
                <w:szCs w:val="28"/>
                <w:lang w:val="uk-UA"/>
              </w:rPr>
              <w:lastRenderedPageBreak/>
              <w:t>глобалізації та гармонізації національних законодавств кримінального права.</w:t>
            </w:r>
          </w:p>
          <w:p w:rsidR="00F01EE7" w:rsidRPr="00D1098D" w:rsidRDefault="002F3CE8" w:rsidP="00F01EE7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u w:val="single"/>
                <w:lang w:val="uk-UA"/>
              </w:rPr>
              <w:t>Основними джерелами</w:t>
            </w:r>
            <w:r w:rsidRPr="00D1098D">
              <w:rPr>
                <w:sz w:val="28"/>
                <w:szCs w:val="28"/>
                <w:lang w:val="uk-UA"/>
              </w:rPr>
              <w:t xml:space="preserve"> навчальної дисципліни виступають </w:t>
            </w:r>
            <w:r w:rsidR="00F01EE7" w:rsidRPr="00D1098D">
              <w:rPr>
                <w:sz w:val="28"/>
                <w:szCs w:val="28"/>
                <w:lang w:val="uk-UA"/>
              </w:rPr>
              <w:t>кримінальні кодекси зарубіжних держав, закони, судові прецеденти.</w:t>
            </w:r>
          </w:p>
          <w:p w:rsidR="00F01EE7" w:rsidRPr="00D1098D" w:rsidRDefault="00F01EE7" w:rsidP="00F01EE7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Сучасний фахівець-юрист повинен мати </w:t>
            </w:r>
            <w:r w:rsidRPr="00D1098D">
              <w:rPr>
                <w:rStyle w:val="variantcorrected"/>
                <w:sz w:val="28"/>
                <w:szCs w:val="28"/>
                <w:lang w:val="uk-UA"/>
              </w:rPr>
              <w:t>уявлення</w:t>
            </w:r>
            <w:r w:rsidRPr="00D1098D">
              <w:rPr>
                <w:sz w:val="28"/>
                <w:szCs w:val="28"/>
                <w:lang w:val="uk-UA"/>
              </w:rPr>
              <w:t xml:space="preserve"> про особливості формування й основні тенденції розвитку кримінального права </w:t>
            </w:r>
            <w:r w:rsidRPr="00D1098D">
              <w:rPr>
                <w:rStyle w:val="variantcorrected"/>
                <w:sz w:val="28"/>
                <w:szCs w:val="28"/>
                <w:lang w:val="uk-UA"/>
              </w:rPr>
              <w:t>зарубіжних</w:t>
            </w:r>
            <w:r w:rsidRPr="00D1098D">
              <w:rPr>
                <w:sz w:val="28"/>
                <w:szCs w:val="28"/>
                <w:lang w:val="uk-UA"/>
              </w:rPr>
              <w:t xml:space="preserve"> країн.</w:t>
            </w:r>
          </w:p>
          <w:p w:rsidR="00FF515F" w:rsidRPr="00D1098D" w:rsidRDefault="00FF515F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CE8" w:rsidRPr="00D1098D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D1098D" w:rsidRDefault="00A07CD2" w:rsidP="00E756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  <w:r w:rsidR="002F3CE8" w:rsidRPr="00D1098D">
              <w:rPr>
                <w:b/>
                <w:sz w:val="28"/>
                <w:szCs w:val="28"/>
                <w:lang w:val="uk-UA"/>
              </w:rPr>
              <w:t>. Результати навчання (компетентності)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602B73" w:rsidRPr="00D1098D" w:rsidRDefault="002A68A0" w:rsidP="0000061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8D">
              <w:rPr>
                <w:rFonts w:ascii="Times New Roman" w:hAnsi="Times New Roman"/>
                <w:sz w:val="28"/>
                <w:szCs w:val="28"/>
              </w:rPr>
              <w:t xml:space="preserve">Демонструвати вміння вільно оперувати юридичними поняттями </w:t>
            </w:r>
            <w:r w:rsidR="00602B73" w:rsidRPr="00D1098D">
              <w:rPr>
                <w:rFonts w:ascii="Times New Roman" w:hAnsi="Times New Roman"/>
                <w:sz w:val="28"/>
                <w:szCs w:val="28"/>
              </w:rPr>
              <w:t xml:space="preserve">порівняльного кримінального права </w:t>
            </w:r>
          </w:p>
          <w:p w:rsidR="00602B73" w:rsidRPr="00D1098D" w:rsidRDefault="002A68A0" w:rsidP="0000061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8D">
              <w:rPr>
                <w:rFonts w:ascii="Times New Roman" w:hAnsi="Times New Roman"/>
                <w:sz w:val="28"/>
                <w:szCs w:val="28"/>
              </w:rPr>
              <w:t xml:space="preserve">Проводити збір і інтегрований аналіз матеріалів з різних джерел </w:t>
            </w:r>
            <w:r w:rsidR="00602B73" w:rsidRPr="00D1098D">
              <w:rPr>
                <w:rFonts w:ascii="Times New Roman" w:hAnsi="Times New Roman"/>
                <w:sz w:val="28"/>
                <w:szCs w:val="28"/>
              </w:rPr>
              <w:t>кримінального права зарубіжних країн</w:t>
            </w:r>
          </w:p>
          <w:p w:rsidR="002A68A0" w:rsidRPr="00D1098D" w:rsidRDefault="002A68A0" w:rsidP="0000061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8D">
              <w:rPr>
                <w:rFonts w:ascii="Times New Roman" w:hAnsi="Times New Roman"/>
                <w:sz w:val="28"/>
                <w:szCs w:val="28"/>
              </w:rPr>
              <w:t xml:space="preserve">Вміння аналізувати </w:t>
            </w:r>
            <w:r w:rsidR="00602B73" w:rsidRPr="00D1098D">
              <w:rPr>
                <w:rFonts w:ascii="Times New Roman" w:hAnsi="Times New Roman"/>
                <w:sz w:val="28"/>
                <w:szCs w:val="28"/>
              </w:rPr>
              <w:t>юридичні конструкції за КК зарубіжних країн</w:t>
            </w:r>
            <w:r w:rsidRPr="00D109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68A0" w:rsidRPr="00D1098D" w:rsidRDefault="002A68A0" w:rsidP="0000061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8D">
              <w:rPr>
                <w:rFonts w:ascii="Times New Roman" w:hAnsi="Times New Roman"/>
                <w:sz w:val="28"/>
                <w:szCs w:val="28"/>
              </w:rPr>
              <w:t xml:space="preserve">Здійснювати аналіз основних положень </w:t>
            </w:r>
            <w:r w:rsidR="00602B73" w:rsidRPr="00D1098D">
              <w:rPr>
                <w:rFonts w:ascii="Times New Roman" w:hAnsi="Times New Roman"/>
                <w:sz w:val="28"/>
                <w:szCs w:val="28"/>
              </w:rPr>
              <w:t>кримінальних законів зарубіжних країн</w:t>
            </w:r>
            <w:r w:rsidRPr="00D109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8A0" w:rsidRPr="00D1098D" w:rsidRDefault="002A68A0" w:rsidP="0000061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8D">
              <w:rPr>
                <w:rFonts w:ascii="Times New Roman" w:hAnsi="Times New Roman"/>
                <w:sz w:val="28"/>
                <w:szCs w:val="28"/>
              </w:rPr>
              <w:t xml:space="preserve">Демонструвати знання і навички з основних проблемних питань </w:t>
            </w:r>
            <w:r w:rsidR="00547FBC" w:rsidRPr="00D1098D">
              <w:rPr>
                <w:rFonts w:ascii="Times New Roman" w:hAnsi="Times New Roman"/>
                <w:sz w:val="28"/>
                <w:szCs w:val="28"/>
              </w:rPr>
              <w:t>кваліфікації кримінальних правопорушень за КК зарубіжних держав</w:t>
            </w:r>
            <w:r w:rsidRPr="00D109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8A0" w:rsidRPr="00D1098D" w:rsidRDefault="002A68A0" w:rsidP="0000061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8D">
              <w:rPr>
                <w:rFonts w:ascii="Times New Roman" w:hAnsi="Times New Roman"/>
                <w:sz w:val="28"/>
                <w:szCs w:val="28"/>
              </w:rPr>
              <w:t xml:space="preserve">Вміння визначати зміст та юридичну природу основних інститутів </w:t>
            </w:r>
            <w:r w:rsidR="00547FBC" w:rsidRPr="00D1098D">
              <w:rPr>
                <w:rFonts w:ascii="Times New Roman" w:hAnsi="Times New Roman"/>
                <w:sz w:val="28"/>
                <w:szCs w:val="28"/>
              </w:rPr>
              <w:t>кримінального</w:t>
            </w:r>
            <w:r w:rsidRPr="00D1098D">
              <w:rPr>
                <w:rFonts w:ascii="Times New Roman" w:hAnsi="Times New Roman"/>
                <w:sz w:val="28"/>
                <w:szCs w:val="28"/>
              </w:rPr>
              <w:t xml:space="preserve"> права.</w:t>
            </w:r>
          </w:p>
          <w:p w:rsidR="002A68A0" w:rsidRPr="00D1098D" w:rsidRDefault="002A68A0" w:rsidP="0000061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8D">
              <w:rPr>
                <w:rFonts w:ascii="Times New Roman" w:hAnsi="Times New Roman"/>
                <w:sz w:val="28"/>
                <w:szCs w:val="28"/>
              </w:rPr>
              <w:t xml:space="preserve">Демонструвати вміння визначення межі можливого використання набутих знань із </w:t>
            </w:r>
            <w:r w:rsidR="00547FBC" w:rsidRPr="00D1098D">
              <w:rPr>
                <w:rFonts w:ascii="Times New Roman" w:hAnsi="Times New Roman"/>
                <w:sz w:val="28"/>
                <w:szCs w:val="28"/>
              </w:rPr>
              <w:t>порівняльного кримінального права з метою впровадити позитивний зарубіжний досвід до правової практики України</w:t>
            </w:r>
            <w:r w:rsidRPr="00D109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7441" w:rsidRPr="00D1098D" w:rsidRDefault="00A37441" w:rsidP="00A37441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7441" w:rsidRPr="00D1098D" w:rsidRDefault="00A37441" w:rsidP="00A37441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ПРОГРАМНІ РЕЗУЛЬТАТИ НАВЧАННЯ:</w:t>
            </w:r>
          </w:p>
          <w:p w:rsidR="00A37441" w:rsidRPr="00D1098D" w:rsidRDefault="00A37441" w:rsidP="00A37441">
            <w:pPr>
              <w:spacing w:after="160" w:line="259" w:lineRule="auto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ПРН-1: </w:t>
            </w:r>
            <w:r w:rsidRPr="00D1098D">
              <w:rPr>
                <w:sz w:val="28"/>
                <w:szCs w:val="28"/>
                <w:lang w:val="uk-UA" w:eastAsia="en-US"/>
              </w:rPr>
              <w:t xml:space="preserve">Мислити </w:t>
            </w:r>
            <w:proofErr w:type="spellStart"/>
            <w:r w:rsidRPr="00D1098D">
              <w:rPr>
                <w:sz w:val="28"/>
                <w:szCs w:val="28"/>
                <w:lang w:val="uk-UA" w:eastAsia="en-US"/>
              </w:rPr>
              <w:t>абстрактно</w:t>
            </w:r>
            <w:proofErr w:type="spellEnd"/>
            <w:r w:rsidRPr="00D1098D">
              <w:rPr>
                <w:sz w:val="28"/>
                <w:szCs w:val="28"/>
                <w:lang w:val="uk-UA" w:eastAsia="en-US"/>
              </w:rPr>
              <w:t xml:space="preserve"> й аналітично, синтезувати загальні знання порівняльного кримінального права для досягнення цілей професійної діяльності.</w:t>
            </w:r>
          </w:p>
          <w:p w:rsidR="00A37441" w:rsidRPr="00D1098D" w:rsidRDefault="00A37441" w:rsidP="00A37441">
            <w:pPr>
              <w:spacing w:after="160" w:line="259" w:lineRule="auto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ПРН-2: </w:t>
            </w:r>
            <w:r w:rsidRPr="00D1098D">
              <w:rPr>
                <w:sz w:val="28"/>
                <w:szCs w:val="28"/>
                <w:lang w:val="uk-UA" w:eastAsia="en-US"/>
              </w:rPr>
              <w:t>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      </w:r>
          </w:p>
          <w:p w:rsidR="00A37441" w:rsidRPr="00D1098D" w:rsidRDefault="00A37441" w:rsidP="00A37441">
            <w:pPr>
              <w:spacing w:after="160" w:line="259" w:lineRule="auto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ПРН-3: Проводити збір і інтегрований аналіз матеріалів з різних джерел, </w:t>
            </w:r>
            <w:r w:rsidRPr="00D1098D">
              <w:rPr>
                <w:sz w:val="28"/>
                <w:szCs w:val="28"/>
                <w:lang w:val="uk-UA" w:eastAsia="en-US"/>
              </w:rPr>
              <w:t>аналізувати їх та узагальнювати у відповідності до наукових критеріїв.</w:t>
            </w:r>
          </w:p>
          <w:p w:rsidR="00A37441" w:rsidRPr="00D1098D" w:rsidRDefault="00A37441" w:rsidP="00A37441">
            <w:pPr>
              <w:spacing w:after="160" w:line="259" w:lineRule="auto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ПРН-5: </w:t>
            </w:r>
            <w:r w:rsidRPr="00D1098D">
              <w:rPr>
                <w:sz w:val="28"/>
                <w:szCs w:val="28"/>
                <w:lang w:val="uk-UA" w:eastAsia="en-US"/>
              </w:rPr>
              <w:t xml:space="preserve">Швидко знаходити потрібну інформацію, обробляти й аналізувати її, оцінювати за достовірністю та </w:t>
            </w:r>
            <w:proofErr w:type="spellStart"/>
            <w:r w:rsidRPr="00D1098D">
              <w:rPr>
                <w:sz w:val="28"/>
                <w:szCs w:val="28"/>
                <w:lang w:val="uk-UA" w:eastAsia="en-US"/>
              </w:rPr>
              <w:t>релевантністю</w:t>
            </w:r>
            <w:proofErr w:type="spellEnd"/>
            <w:r w:rsidRPr="00D1098D">
              <w:rPr>
                <w:sz w:val="28"/>
                <w:szCs w:val="28"/>
                <w:lang w:val="uk-UA" w:eastAsia="en-US"/>
              </w:rPr>
              <w:t>, аналізувати зібрану й оброблену інформацію.</w:t>
            </w:r>
          </w:p>
          <w:p w:rsidR="00A37441" w:rsidRPr="00D1098D" w:rsidRDefault="00A37441" w:rsidP="00A37441">
            <w:pPr>
              <w:spacing w:after="160" w:line="259" w:lineRule="auto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ПРН-10: </w:t>
            </w:r>
            <w:r w:rsidRPr="00D1098D">
              <w:rPr>
                <w:sz w:val="28"/>
                <w:szCs w:val="28"/>
                <w:lang w:val="uk-UA" w:eastAsia="en-US"/>
              </w:rPr>
              <w:t xml:space="preserve">Демонструвати концептуальні знання, набуті у процесі навчання та професійної діяльності, включаючи певні знання сучасних </w:t>
            </w:r>
            <w:r w:rsidRPr="00D1098D">
              <w:rPr>
                <w:sz w:val="28"/>
                <w:szCs w:val="28"/>
                <w:lang w:val="uk-UA" w:eastAsia="en-US"/>
              </w:rPr>
              <w:lastRenderedPageBreak/>
              <w:t>досягнень порівняльного законодавства,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      </w:r>
          </w:p>
          <w:p w:rsidR="00A37441" w:rsidRPr="00D1098D" w:rsidRDefault="00A37441" w:rsidP="00A37441">
            <w:pPr>
              <w:spacing w:after="160" w:line="259" w:lineRule="auto"/>
              <w:ind w:firstLine="709"/>
              <w:jc w:val="both"/>
              <w:rPr>
                <w:sz w:val="28"/>
                <w:szCs w:val="28"/>
                <w:lang w:val="uk-UA" w:eastAsia="en-US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ПРН-13: </w:t>
            </w:r>
            <w:r w:rsidRPr="00D1098D">
              <w:rPr>
                <w:sz w:val="28"/>
                <w:szCs w:val="28"/>
                <w:lang w:val="uk-UA" w:eastAsia="en-US"/>
              </w:rPr>
              <w:t>Передбачати й формулювати юридичні ризики тих або інших дій з урахуванням множинності правових систем і юрисдикцій.</w:t>
            </w:r>
          </w:p>
          <w:p w:rsidR="00A37441" w:rsidRPr="00D1098D" w:rsidRDefault="00A37441" w:rsidP="00A37441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E8" w:rsidRPr="00D1098D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D1098D" w:rsidRDefault="00A961F4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lastRenderedPageBreak/>
              <w:t>4</w:t>
            </w:r>
            <w:r w:rsidR="002F3CE8" w:rsidRPr="00D1098D">
              <w:rPr>
                <w:b/>
                <w:sz w:val="28"/>
                <w:szCs w:val="28"/>
                <w:lang w:val="uk-UA"/>
              </w:rPr>
              <w:t xml:space="preserve">. Організація навчання </w:t>
            </w:r>
          </w:p>
        </w:tc>
      </w:tr>
      <w:tr w:rsidR="002F3CE8" w:rsidRPr="00D1098D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D1098D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Тематика навчальної дисципліни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9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14"/>
        </w:trPr>
        <w:tc>
          <w:tcPr>
            <w:tcW w:w="1560" w:type="dxa"/>
            <w:vMerge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р.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381" w:type="dxa"/>
            <w:gridSpan w:val="9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І. Загальна частина. 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 w:val="restart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 </w:t>
            </w:r>
            <w:r w:rsidR="00243C54" w:rsidRPr="00D1098D">
              <w:rPr>
                <w:rFonts w:ascii="Times New Roman" w:hAnsi="Times New Roman" w:cs="Times New Roman"/>
                <w:sz w:val="28"/>
                <w:szCs w:val="28"/>
              </w:rPr>
              <w:t>Кримінально-правові системи в сучасному світі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</w:t>
            </w:r>
            <w:r w:rsidRPr="00D1098D">
              <w:rPr>
                <w:rFonts w:ascii="Times New Roman" w:hAnsi="Times New Roman" w:cs="Times New Roman"/>
                <w:sz w:val="28"/>
                <w:szCs w:val="28"/>
              </w:rPr>
              <w:t>Поняття злочину за кримінальним правом України та зарубіжних країн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Pr="00D1098D">
              <w:rPr>
                <w:sz w:val="28"/>
                <w:szCs w:val="28"/>
                <w:lang w:val="uk-UA"/>
              </w:rPr>
              <w:t>Поняття вини за кримінальним правом України і зарубіжних країн</w:t>
            </w:r>
          </w:p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 w:val="restart"/>
            <w:shd w:val="clear" w:color="auto" w:fill="auto"/>
          </w:tcPr>
          <w:p w:rsidR="00A961F4" w:rsidRPr="00D1098D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hAnsi="Times New Roman" w:cs="Times New Roman"/>
                <w:sz w:val="28"/>
                <w:szCs w:val="28"/>
              </w:rPr>
              <w:t>Тема 4. Суб'єкт злочинного діяння за кримінальним правом України та зарубіжних держав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Тема 5. Поняття співучасті за кримінальним правом України та зарубіжних держав</w:t>
            </w:r>
          </w:p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Тема 6. Незакінчена злочинна діяльність за кримінальним правом України та зарубіжних держав</w:t>
            </w:r>
          </w:p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 w:val="restart"/>
            <w:shd w:val="clear" w:color="auto" w:fill="auto"/>
          </w:tcPr>
          <w:p w:rsidR="00A961F4" w:rsidRPr="00D1098D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 xml:space="preserve">Тема 7. Обставини, що виключають злочинність </w:t>
            </w:r>
            <w:r w:rsidRPr="00D1098D">
              <w:rPr>
                <w:sz w:val="28"/>
                <w:szCs w:val="28"/>
                <w:lang w:val="uk-UA"/>
              </w:rPr>
              <w:lastRenderedPageBreak/>
              <w:t>діяння за кримінальним правом України та</w:t>
            </w:r>
          </w:p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зарубіжних держав</w:t>
            </w:r>
          </w:p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Тема 8. Поняття, система і види покарань, інших заходів кримінальної відповідальності за кримінальним правом України та зарубіжних країн</w:t>
            </w:r>
          </w:p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381" w:type="dxa"/>
            <w:gridSpan w:val="9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ІІ. Особлива частина. 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460"/>
        </w:trPr>
        <w:tc>
          <w:tcPr>
            <w:tcW w:w="1560" w:type="dxa"/>
            <w:shd w:val="clear" w:color="auto" w:fill="auto"/>
          </w:tcPr>
          <w:p w:rsidR="00A961F4" w:rsidRPr="00D1098D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Тема 9. Система Особливої частини кримінального права в Україні та сучасних зарубіжних країнах</w:t>
            </w:r>
          </w:p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1560" w:type="dxa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30195" w:rsidRPr="00D1098D" w:rsidRDefault="00830195" w:rsidP="00830195">
            <w:pPr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Тема 10. Поняття і види злочинів проти власності за кримінальним правом України та зарубіжних країн</w:t>
            </w:r>
          </w:p>
          <w:p w:rsidR="00A961F4" w:rsidRPr="00D1098D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1098D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D1098D">
        <w:tblPrEx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1560" w:type="dxa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1F4" w:rsidRPr="00D1098D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BB7417" w:rsidRPr="00D1098D" w:rsidRDefault="00BB7417" w:rsidP="00BB7417">
      <w:pPr>
        <w:rPr>
          <w:vanish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7447"/>
      </w:tblGrid>
      <w:tr w:rsidR="002F3CE8" w:rsidRPr="00D1098D">
        <w:tc>
          <w:tcPr>
            <w:tcW w:w="9345" w:type="dxa"/>
            <w:gridSpan w:val="2"/>
            <w:shd w:val="clear" w:color="auto" w:fill="auto"/>
          </w:tcPr>
          <w:p w:rsidR="002F3CE8" w:rsidRPr="00D1098D" w:rsidRDefault="00B35A0A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098D">
              <w:rPr>
                <w:b/>
                <w:sz w:val="28"/>
                <w:szCs w:val="28"/>
                <w:lang w:val="uk-UA"/>
              </w:rPr>
              <w:t>5</w:t>
            </w:r>
            <w:r w:rsidR="002F3CE8" w:rsidRPr="00D1098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A6639B" w:rsidRPr="00D1098D">
              <w:rPr>
                <w:b/>
                <w:sz w:val="28"/>
                <w:szCs w:val="28"/>
                <w:lang w:val="uk-UA"/>
              </w:rPr>
              <w:t>Політика навчальної дисципліни</w:t>
            </w:r>
          </w:p>
        </w:tc>
      </w:tr>
      <w:tr w:rsidR="002F3CE8" w:rsidRPr="00D1098D">
        <w:tc>
          <w:tcPr>
            <w:tcW w:w="1898" w:type="dxa"/>
            <w:shd w:val="clear" w:color="auto" w:fill="auto"/>
          </w:tcPr>
          <w:p w:rsidR="002F3CE8" w:rsidRPr="00D1098D" w:rsidRDefault="00500C5D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D1098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Загальна система оцінювання курсу</w:t>
            </w:r>
          </w:p>
        </w:tc>
        <w:tc>
          <w:tcPr>
            <w:tcW w:w="7447" w:type="dxa"/>
            <w:shd w:val="clear" w:color="auto" w:fill="auto"/>
          </w:tcPr>
          <w:p w:rsidR="002F3CE8" w:rsidRPr="00D1098D" w:rsidRDefault="00500C5D" w:rsidP="004656F2">
            <w:pPr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D1098D">
              <w:rPr>
                <w:rFonts w:eastAsia="TimesNewRomanPSMT"/>
                <w:sz w:val="28"/>
                <w:szCs w:val="28"/>
                <w:lang w:val="uk-UA" w:eastAsia="en-US"/>
              </w:rPr>
              <w:t>Участь в роботі впродовж семестру – 50% від загальної оцінки. Екзамен: 50% від загальної оцінки. Екзамен усний згідно з переліком питань.</w:t>
            </w:r>
          </w:p>
        </w:tc>
      </w:tr>
      <w:tr w:rsidR="005B6078" w:rsidRPr="00D1098D">
        <w:tc>
          <w:tcPr>
            <w:tcW w:w="1898" w:type="dxa"/>
            <w:shd w:val="clear" w:color="auto" w:fill="auto"/>
          </w:tcPr>
          <w:p w:rsidR="005B6078" w:rsidRPr="00D1098D" w:rsidRDefault="005B6078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D1098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Умови допуску до підсумкового контролю </w:t>
            </w:r>
          </w:p>
        </w:tc>
        <w:tc>
          <w:tcPr>
            <w:tcW w:w="7447" w:type="dxa"/>
            <w:shd w:val="clear" w:color="auto" w:fill="auto"/>
          </w:tcPr>
          <w:p w:rsidR="005B6078" w:rsidRPr="00D1098D" w:rsidRDefault="005B6078" w:rsidP="004656F2">
            <w:pPr>
              <w:pStyle w:val="1"/>
              <w:widowControl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D1098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Обов’язкова присутність на лекційних заняттях. У разі пропуску 1/3 лекційних занять студент не допускається до підсумкового контролю. Активність впродовж семестру, відвідування і відпрацювання усіх семінарських занять </w:t>
            </w:r>
            <w:r w:rsidR="00D1098D" w:rsidRPr="00D1098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обов’язково</w:t>
            </w:r>
            <w:bookmarkStart w:id="0" w:name="_GoBack"/>
            <w:bookmarkEnd w:id="0"/>
            <w:r w:rsidRPr="00D1098D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. Відпрацювання семінарських занять (можливе шляхом виконання тесту) здійснюється протягом двох тижнів з моменту пропуску заняття або отримання незадовільної оцінки на занятті. </w:t>
            </w:r>
          </w:p>
        </w:tc>
      </w:tr>
      <w:tr w:rsidR="002F3CE8" w:rsidRPr="00D1098D">
        <w:tc>
          <w:tcPr>
            <w:tcW w:w="9345" w:type="dxa"/>
            <w:gridSpan w:val="2"/>
            <w:shd w:val="clear" w:color="auto" w:fill="auto"/>
          </w:tcPr>
          <w:p w:rsidR="002F3CE8" w:rsidRPr="00D1098D" w:rsidRDefault="002F3CE8" w:rsidP="004656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CE8" w:rsidRPr="00D1098D">
        <w:tc>
          <w:tcPr>
            <w:tcW w:w="9345" w:type="dxa"/>
            <w:gridSpan w:val="2"/>
            <w:shd w:val="clear" w:color="auto" w:fill="auto"/>
          </w:tcPr>
          <w:p w:rsidR="00E32E55" w:rsidRPr="00D1098D" w:rsidRDefault="00E32E55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D1098D">
              <w:rPr>
                <w:bCs/>
                <w:iCs/>
                <w:sz w:val="28"/>
                <w:szCs w:val="28"/>
                <w:lang w:val="uk-UA"/>
              </w:rPr>
              <w:t xml:space="preserve">Організація та здійснення діяльності при викладанні навчальної дисципліни «Порівняльне кримінальне право» здійснюються на основі комплексного підходу з використанням таких методів навчання: лекції, </w:t>
            </w:r>
            <w:r w:rsidRPr="00D1098D"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семінарські заняття, </w:t>
            </w:r>
            <w:r w:rsidRPr="00D1098D">
              <w:rPr>
                <w:sz w:val="28"/>
                <w:szCs w:val="28"/>
                <w:lang w:val="uk-UA"/>
              </w:rPr>
              <w:t xml:space="preserve">семінари-дискусії, презентації-виступи, кейс-метод (метод </w:t>
            </w:r>
            <w:proofErr w:type="spellStart"/>
            <w:r w:rsidRPr="00D1098D">
              <w:rPr>
                <w:sz w:val="28"/>
                <w:szCs w:val="28"/>
                <w:lang w:val="uk-UA"/>
              </w:rPr>
              <w:t>case-study</w:t>
            </w:r>
            <w:proofErr w:type="spellEnd"/>
            <w:r w:rsidRPr="00D1098D">
              <w:rPr>
                <w:sz w:val="28"/>
                <w:szCs w:val="28"/>
                <w:lang w:val="uk-UA"/>
              </w:rPr>
              <w:t>),</w:t>
            </w:r>
            <w:r w:rsidRPr="00D1098D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1098D">
              <w:rPr>
                <w:sz w:val="28"/>
                <w:szCs w:val="28"/>
                <w:lang w:val="uk-UA"/>
              </w:rPr>
              <w:t>робота в малих групах,</w:t>
            </w:r>
            <w:r w:rsidRPr="00D1098D">
              <w:rPr>
                <w:bCs/>
                <w:iCs/>
                <w:sz w:val="28"/>
                <w:szCs w:val="28"/>
                <w:lang w:val="uk-UA"/>
              </w:rPr>
              <w:t xml:space="preserve"> самостійна робота, підготовка та захист доповідей</w:t>
            </w:r>
          </w:p>
          <w:p w:rsidR="003A2FF0" w:rsidRPr="00D1098D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1098D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Семінарські заняття:</w:t>
            </w:r>
            <w:r w:rsidRPr="00D1098D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23484F" w:rsidRPr="00D1098D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D1098D">
              <w:rPr>
                <w:rFonts w:eastAsia="TimesNewRomanPSMT"/>
                <w:sz w:val="28"/>
                <w:szCs w:val="28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D1098D" w:rsidRDefault="002F3CE8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D1098D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Письмові роботи:</w:t>
            </w:r>
          </w:p>
          <w:p w:rsidR="003A2FF0" w:rsidRPr="00D1098D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D1098D">
              <w:rPr>
                <w:rFonts w:eastAsia="TimesNewRomanPSMT"/>
                <w:sz w:val="28"/>
                <w:szCs w:val="28"/>
                <w:lang w:val="uk-UA" w:eastAsia="en-US"/>
              </w:rPr>
              <w:t>Планується виконання студентами пись</w:t>
            </w:r>
            <w:r w:rsidR="00CD1339" w:rsidRPr="00D1098D">
              <w:rPr>
                <w:rFonts w:eastAsia="TimesNewRomanPSMT"/>
                <w:sz w:val="28"/>
                <w:szCs w:val="28"/>
                <w:lang w:val="uk-UA" w:eastAsia="en-US"/>
              </w:rPr>
              <w:t>мових тестових завдань, експрес-опитувань за темами навчальної дисципліни</w:t>
            </w:r>
            <w:r w:rsidR="003A2FF0" w:rsidRPr="00D1098D">
              <w:rPr>
                <w:rFonts w:eastAsia="TimesNewRomanPSMT"/>
                <w:sz w:val="28"/>
                <w:szCs w:val="28"/>
                <w:lang w:val="uk-UA" w:eastAsia="en-US"/>
              </w:rPr>
              <w:t xml:space="preserve">. </w:t>
            </w:r>
            <w:r w:rsidR="003A2FF0"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Обсяг письмових робіт – до 500 слів. Письмові роботи повинні подаватись вчасно. Оцінюється якість та оригінальність наведених аргументів.</w:t>
            </w:r>
          </w:p>
          <w:p w:rsidR="002F3CE8" w:rsidRPr="00D1098D" w:rsidRDefault="002F3CE8" w:rsidP="004656F2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D1098D" w:rsidRDefault="00D816B9" w:rsidP="004656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незарахуванння</w:t>
            </w:r>
            <w:proofErr w:type="spellEnd"/>
            <w:r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D1098D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D1098D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Відвідування занять</w:t>
            </w:r>
            <w:r w:rsidR="003A2FF0" w:rsidRPr="00D1098D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 xml:space="preserve">: </w:t>
            </w:r>
          </w:p>
          <w:p w:rsidR="002F3CE8" w:rsidRPr="00D1098D" w:rsidRDefault="00CD1339" w:rsidP="004656F2">
            <w:pPr>
              <w:ind w:firstLine="310"/>
              <w:jc w:val="both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D1098D">
              <w:rPr>
                <w:rFonts w:eastAsia="TimesNewRomanPSMT"/>
                <w:sz w:val="28"/>
                <w:szCs w:val="28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D1098D">
              <w:rPr>
                <w:sz w:val="28"/>
                <w:szCs w:val="28"/>
                <w:lang w:val="uk-UA"/>
              </w:rPr>
              <w:t>навчальної дисципліни</w:t>
            </w:r>
            <w:r w:rsidRPr="00D1098D">
              <w:rPr>
                <w:rFonts w:eastAsia="TimesNewRomanPSMT"/>
                <w:sz w:val="28"/>
                <w:szCs w:val="28"/>
                <w:lang w:val="uk-UA" w:eastAsia="en-US"/>
              </w:rPr>
              <w:t>.</w:t>
            </w:r>
            <w:r w:rsidR="00D816B9"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програмою</w:t>
            </w:r>
            <w:r w:rsidR="00D816B9" w:rsidRPr="00D1098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заняття. Студенти, які пропустили 1/3 аудиторних занять і не відпрацювали їх до кінця семестру, не допускають до складання іспиту. </w:t>
            </w:r>
          </w:p>
          <w:p w:rsidR="00AF4701" w:rsidRPr="00D1098D" w:rsidRDefault="00AF4701" w:rsidP="004656F2">
            <w:pPr>
              <w:ind w:firstLine="310"/>
              <w:jc w:val="both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  <w:p w:rsidR="00AF4701" w:rsidRPr="00D1098D" w:rsidRDefault="00AF4701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2F3CE8" w:rsidRPr="00D1098D">
        <w:tc>
          <w:tcPr>
            <w:tcW w:w="9345" w:type="dxa"/>
            <w:gridSpan w:val="2"/>
            <w:shd w:val="clear" w:color="auto" w:fill="auto"/>
          </w:tcPr>
          <w:p w:rsidR="00A6639B" w:rsidRPr="00D1098D" w:rsidRDefault="00A6639B" w:rsidP="00A6639B">
            <w:pPr>
              <w:pStyle w:val="Default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109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6. </w:t>
            </w:r>
            <w:r w:rsidRPr="00D1098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  <w:p w:rsidR="00A6639B" w:rsidRPr="00D1098D" w:rsidRDefault="00A6639B" w:rsidP="00A6639B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2F3CE8" w:rsidRPr="00D1098D" w:rsidRDefault="002F3CE8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F3CE8" w:rsidRPr="00D1098D">
        <w:tc>
          <w:tcPr>
            <w:tcW w:w="9345" w:type="dxa"/>
            <w:gridSpan w:val="2"/>
            <w:shd w:val="clear" w:color="auto" w:fill="auto"/>
          </w:tcPr>
          <w:p w:rsidR="00A6639B" w:rsidRPr="00D1098D" w:rsidRDefault="00A6639B" w:rsidP="00A6639B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D1098D">
              <w:rPr>
                <w:sz w:val="28"/>
                <w:szCs w:val="28"/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D1098D" w:rsidRDefault="002F3CE8" w:rsidP="00A6639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470" w:rsidRPr="00D1098D" w:rsidRDefault="00EC6470" w:rsidP="00AF4701">
      <w:pPr>
        <w:jc w:val="both"/>
        <w:rPr>
          <w:sz w:val="28"/>
          <w:szCs w:val="28"/>
          <w:lang w:val="uk-UA"/>
        </w:rPr>
      </w:pPr>
    </w:p>
    <w:sectPr w:rsidR="00EC6470" w:rsidRPr="00D1098D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321048"/>
    <w:multiLevelType w:val="hybridMultilevel"/>
    <w:tmpl w:val="A606DC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5D15"/>
    <w:multiLevelType w:val="hybridMultilevel"/>
    <w:tmpl w:val="863AE5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0D6A"/>
    <w:multiLevelType w:val="hybridMultilevel"/>
    <w:tmpl w:val="7DEAEC36"/>
    <w:lvl w:ilvl="0" w:tplc="85D49D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F110E"/>
    <w:multiLevelType w:val="hybridMultilevel"/>
    <w:tmpl w:val="FF5AE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1BE7B26"/>
    <w:multiLevelType w:val="hybridMultilevel"/>
    <w:tmpl w:val="AE360446"/>
    <w:lvl w:ilvl="0" w:tplc="757234A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68F9"/>
    <w:multiLevelType w:val="hybridMultilevel"/>
    <w:tmpl w:val="BC989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0617"/>
    <w:rsid w:val="00004949"/>
    <w:rsid w:val="0006422F"/>
    <w:rsid w:val="00070BC6"/>
    <w:rsid w:val="000C19C3"/>
    <w:rsid w:val="000D3FD4"/>
    <w:rsid w:val="00124860"/>
    <w:rsid w:val="001C183A"/>
    <w:rsid w:val="001E68BE"/>
    <w:rsid w:val="001F4FCD"/>
    <w:rsid w:val="0023484F"/>
    <w:rsid w:val="00242AB9"/>
    <w:rsid w:val="00243C54"/>
    <w:rsid w:val="00263BA9"/>
    <w:rsid w:val="00265BE7"/>
    <w:rsid w:val="002A68A0"/>
    <w:rsid w:val="002C5DD4"/>
    <w:rsid w:val="002F3CE8"/>
    <w:rsid w:val="00376470"/>
    <w:rsid w:val="003A2FF0"/>
    <w:rsid w:val="003B6C3A"/>
    <w:rsid w:val="003F5E99"/>
    <w:rsid w:val="003F7AA4"/>
    <w:rsid w:val="004656F2"/>
    <w:rsid w:val="00500C5D"/>
    <w:rsid w:val="00547FBC"/>
    <w:rsid w:val="00594D0D"/>
    <w:rsid w:val="005B6078"/>
    <w:rsid w:val="00602B73"/>
    <w:rsid w:val="006A1DBE"/>
    <w:rsid w:val="00705845"/>
    <w:rsid w:val="00707BBB"/>
    <w:rsid w:val="00717F40"/>
    <w:rsid w:val="007D31DD"/>
    <w:rsid w:val="00803153"/>
    <w:rsid w:val="008059DF"/>
    <w:rsid w:val="00830195"/>
    <w:rsid w:val="00882427"/>
    <w:rsid w:val="008C7BDF"/>
    <w:rsid w:val="0090046F"/>
    <w:rsid w:val="00952A20"/>
    <w:rsid w:val="00972B57"/>
    <w:rsid w:val="009F3F42"/>
    <w:rsid w:val="00A0711D"/>
    <w:rsid w:val="00A07CD2"/>
    <w:rsid w:val="00A37441"/>
    <w:rsid w:val="00A54FB3"/>
    <w:rsid w:val="00A6639B"/>
    <w:rsid w:val="00A91D72"/>
    <w:rsid w:val="00A961F4"/>
    <w:rsid w:val="00AC69E9"/>
    <w:rsid w:val="00AD46F1"/>
    <w:rsid w:val="00AF4701"/>
    <w:rsid w:val="00B35A0A"/>
    <w:rsid w:val="00B55E81"/>
    <w:rsid w:val="00BB7417"/>
    <w:rsid w:val="00C01FA6"/>
    <w:rsid w:val="00C0202A"/>
    <w:rsid w:val="00C43E43"/>
    <w:rsid w:val="00C74161"/>
    <w:rsid w:val="00CD1339"/>
    <w:rsid w:val="00D1098D"/>
    <w:rsid w:val="00D244A1"/>
    <w:rsid w:val="00D816B9"/>
    <w:rsid w:val="00E32E55"/>
    <w:rsid w:val="00E756F0"/>
    <w:rsid w:val="00E86462"/>
    <w:rsid w:val="00EC6470"/>
    <w:rsid w:val="00F01EE7"/>
    <w:rsid w:val="00F232F6"/>
    <w:rsid w:val="00FD051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E6A4D"/>
  <w15:chartTrackingRefBased/>
  <w15:docId w15:val="{0DF7D0EB-B4AE-4799-84F1-C1C517D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iPriority w:val="99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corrected">
    <w:name w:val="variant corrected"/>
    <w:rsid w:val="00F01EE7"/>
  </w:style>
  <w:style w:type="character" w:customStyle="1" w:styleId="variant1">
    <w:name w:val="variant1"/>
    <w:rsid w:val="00602B73"/>
    <w:rPr>
      <w:color w:val="0000FF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830195"/>
    <w:rPr>
      <w:rFonts w:ascii="Calibri" w:eastAsia="SimSun" w:hAnsi="Calibri"/>
      <w:sz w:val="20"/>
      <w:szCs w:val="20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830195"/>
    <w:rPr>
      <w:rFonts w:eastAsia="SimSun"/>
      <w:lang w:val="ru-RU" w:eastAsia="ru-RU"/>
    </w:rPr>
  </w:style>
  <w:style w:type="character" w:styleId="ad">
    <w:name w:val="Emphasis"/>
    <w:uiPriority w:val="20"/>
    <w:qFormat/>
    <w:rsid w:val="0006422F"/>
    <w:rPr>
      <w:rFonts w:cs="Times New Roman"/>
      <w:i/>
      <w:iCs/>
    </w:rPr>
  </w:style>
  <w:style w:type="character" w:customStyle="1" w:styleId="105pt">
    <w:name w:val="Основной текст + 10;5 pt;Полужирный"/>
    <w:rsid w:val="0006422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5331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АДВОКАТУРИ УКРАЇНИ</vt:lpstr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Користувач Windows</dc:creator>
  <cp:keywords/>
  <cp:lastModifiedBy>Гончаренко С.В.</cp:lastModifiedBy>
  <cp:revision>2</cp:revision>
  <dcterms:created xsi:type="dcterms:W3CDTF">2020-02-12T14:04:00Z</dcterms:created>
  <dcterms:modified xsi:type="dcterms:W3CDTF">2020-02-12T14:04:00Z</dcterms:modified>
</cp:coreProperties>
</file>